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RPr="001D59F4" w:rsidRDefault="001D59F4">
      <w:pPr>
        <w:pStyle w:val="Heading1"/>
        <w:rPr>
          <w:color w:val="auto"/>
        </w:rPr>
      </w:pPr>
      <w:bookmarkStart w:id="0" w:name="_Toc400361362"/>
      <w:bookmarkStart w:id="1" w:name="_Toc443397153"/>
      <w:bookmarkStart w:id="2" w:name="_Toc357771638"/>
      <w:bookmarkStart w:id="3" w:name="_Toc346793416"/>
      <w:bookmarkStart w:id="4" w:name="_Toc328122777"/>
      <w:r w:rsidRPr="001D59F4">
        <w:rPr>
          <w:noProof/>
          <w:color w:val="auto"/>
        </w:rPr>
        <w:drawing>
          <wp:anchor distT="0" distB="0" distL="114300" distR="114300" simplePos="0" relativeHeight="251658240" behindDoc="1" locked="0" layoutInCell="1" allowOverlap="1" wp14:editId="5537A3D4">
            <wp:simplePos x="0" y="0"/>
            <wp:positionH relativeFrom="column">
              <wp:posOffset>4531995</wp:posOffset>
            </wp:positionH>
            <wp:positionV relativeFrom="paragraph">
              <wp:posOffset>0</wp:posOffset>
            </wp:positionV>
            <wp:extent cx="1379855" cy="1011555"/>
            <wp:effectExtent l="0" t="0" r="0" b="0"/>
            <wp:wrapThrough wrapText="bothSides">
              <wp:wrapPolygon edited="0">
                <wp:start x="0" y="0"/>
                <wp:lineTo x="0" y="21153"/>
                <wp:lineTo x="21173" y="21153"/>
                <wp:lineTo x="211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011555"/>
                    </a:xfrm>
                    <a:prstGeom prst="rect">
                      <a:avLst/>
                    </a:prstGeom>
                    <a:noFill/>
                  </pic:spPr>
                </pic:pic>
              </a:graphicData>
            </a:graphic>
            <wp14:sizeRelH relativeFrom="page">
              <wp14:pctWidth>0</wp14:pctWidth>
            </wp14:sizeRelH>
            <wp14:sizeRelV relativeFrom="page">
              <wp14:pctHeight>0</wp14:pctHeight>
            </wp14:sizeRelV>
          </wp:anchor>
        </w:drawing>
      </w:r>
      <w:r w:rsidR="009D71E8" w:rsidRPr="001D59F4">
        <w:rPr>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1D59F4">
        <w:rPr>
          <w:color w:val="auto"/>
        </w:rPr>
        <w:t xml:space="preserve"> 202</w:t>
      </w:r>
      <w:r w:rsidR="00352D2C">
        <w:rPr>
          <w:color w:val="auto"/>
        </w:rPr>
        <w:t>3</w:t>
      </w:r>
      <w:r w:rsidR="00711705">
        <w:rPr>
          <w:color w:val="auto"/>
        </w:rPr>
        <w:t>/2</w:t>
      </w:r>
      <w:r w:rsidR="00352D2C">
        <w:rPr>
          <w:color w:val="auto"/>
        </w:rPr>
        <w:t>4</w:t>
      </w:r>
    </w:p>
    <w:p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711705">
        <w:rPr>
          <w:b w:val="0"/>
          <w:bCs/>
          <w:color w:val="auto"/>
          <w:sz w:val="24"/>
          <w:szCs w:val="24"/>
        </w:rPr>
        <w:t>2</w:t>
      </w:r>
      <w:r>
        <w:rPr>
          <w:b w:val="0"/>
          <w:bCs/>
          <w:color w:val="auto"/>
          <w:sz w:val="24"/>
          <w:szCs w:val="24"/>
        </w:rPr>
        <w:t xml:space="preserve"> to 202</w:t>
      </w:r>
      <w:r w:rsidR="00711705">
        <w:rPr>
          <w:b w:val="0"/>
          <w:bCs/>
          <w:color w:val="auto"/>
          <w:sz w:val="24"/>
          <w:szCs w:val="24"/>
        </w:rPr>
        <w:t>3</w:t>
      </w:r>
      <w:r>
        <w:rPr>
          <w:b w:val="0"/>
          <w:bCs/>
          <w:color w:val="auto"/>
          <w:sz w:val="24"/>
          <w:szCs w:val="24"/>
        </w:rPr>
        <w:t xml:space="preserve">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Pr="001D59F4" w:rsidRDefault="009D71E8">
      <w:pPr>
        <w:pStyle w:val="Heading2"/>
        <w:rPr>
          <w:color w:val="FF0000"/>
        </w:rPr>
      </w:pPr>
      <w:r w:rsidRPr="001D59F4">
        <w:rPr>
          <w:color w:val="FF0000"/>
        </w:rPr>
        <w:t>School overview</w:t>
      </w:r>
      <w:bookmarkEnd w:id="5"/>
      <w:bookmarkEnd w:id="6"/>
      <w:bookmarkEnd w:id="7"/>
      <w:bookmarkEnd w:id="8"/>
      <w:bookmarkEnd w:id="9"/>
      <w:bookmarkEnd w:id="10"/>
      <w:bookmarkEnd w:id="11"/>
      <w:bookmarkEnd w:id="12"/>
      <w:bookmarkEnd w:id="13"/>
    </w:p>
    <w:tbl>
      <w:tblPr>
        <w:tblStyle w:val="GridTable1Light"/>
        <w:tblW w:w="5000" w:type="pct"/>
        <w:tblLook w:val="04A0" w:firstRow="1" w:lastRow="0" w:firstColumn="1" w:lastColumn="0" w:noHBand="0" w:noVBand="1"/>
      </w:tblPr>
      <w:tblGrid>
        <w:gridCol w:w="6091"/>
        <w:gridCol w:w="3395"/>
      </w:tblGrid>
      <w:tr w:rsidR="00E66558" w:rsidTr="001D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E66558" w:rsidRDefault="009D71E8">
            <w:pPr>
              <w:pStyle w:val="TableHeader"/>
              <w:jc w:val="left"/>
            </w:pPr>
            <w:r>
              <w:t>Detail</w:t>
            </w:r>
          </w:p>
        </w:tc>
        <w:tc>
          <w:tcPr>
            <w:tcW w:w="3395"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Data</w:t>
            </w:r>
          </w:p>
        </w:tc>
      </w:tr>
      <w:tr w:rsidR="00E66558" w:rsidTr="001D59F4">
        <w:tc>
          <w:tcPr>
            <w:cnfStyle w:val="001000000000" w:firstRow="0" w:lastRow="0" w:firstColumn="1" w:lastColumn="0" w:oddVBand="0" w:evenVBand="0" w:oddHBand="0" w:evenHBand="0" w:firstRowFirstColumn="0" w:firstRowLastColumn="0" w:lastRowFirstColumn="0" w:lastRowLastColumn="0"/>
            <w:tcW w:w="6091" w:type="dxa"/>
          </w:tcPr>
          <w:p w:rsidR="00E66558" w:rsidRDefault="009D71E8">
            <w:pPr>
              <w:pStyle w:val="TableRow"/>
            </w:pPr>
            <w:r>
              <w:t>School name</w:t>
            </w:r>
          </w:p>
        </w:tc>
        <w:tc>
          <w:tcPr>
            <w:tcW w:w="3395" w:type="dxa"/>
          </w:tcPr>
          <w:p w:rsidR="00E66558" w:rsidRDefault="001D59F4">
            <w:pPr>
              <w:pStyle w:val="TableRow"/>
              <w:cnfStyle w:val="000000000000" w:firstRow="0" w:lastRow="0" w:firstColumn="0" w:lastColumn="0" w:oddVBand="0" w:evenVBand="0" w:oddHBand="0" w:evenHBand="0" w:firstRowFirstColumn="0" w:firstRowLastColumn="0" w:lastRowFirstColumn="0" w:lastRowLastColumn="0"/>
            </w:pPr>
            <w:r>
              <w:t>Willow Wood Community Nursery &amp; Primary School</w:t>
            </w:r>
          </w:p>
        </w:tc>
      </w:tr>
      <w:tr w:rsidR="00E66558" w:rsidTr="001D59F4">
        <w:tc>
          <w:tcPr>
            <w:tcW w:w="6091" w:type="dxa"/>
          </w:tcPr>
          <w:p w:rsidR="00E66558" w:rsidRDefault="009D71E8">
            <w:pPr>
              <w:pStyle w:val="TableRow"/>
              <w:cnfStyle w:val="001000000000" w:firstRow="0" w:lastRow="0" w:firstColumn="1" w:lastColumn="0" w:oddVBand="0" w:evenVBand="0" w:oddHBand="0" w:evenHBand="0" w:firstRowFirstColumn="0" w:firstRowLastColumn="0" w:lastRowFirstColumn="0" w:lastRowLastColumn="0"/>
            </w:pPr>
            <w:r>
              <w:t xml:space="preserve">Number of pupils in school </w:t>
            </w:r>
          </w:p>
        </w:tc>
        <w:tc>
          <w:tcPr>
            <w:tcW w:w="3395" w:type="dxa"/>
          </w:tcPr>
          <w:p w:rsidR="00E66558" w:rsidRDefault="00711705">
            <w:pPr>
              <w:pStyle w:val="TableRow"/>
            </w:pPr>
            <w:r>
              <w:t>27</w:t>
            </w:r>
            <w:r w:rsidR="00F1314B">
              <w:t>9</w:t>
            </w:r>
          </w:p>
        </w:tc>
      </w:tr>
      <w:tr w:rsidR="00E66558" w:rsidTr="001D59F4">
        <w:tc>
          <w:tcPr>
            <w:tcW w:w="6091" w:type="dxa"/>
          </w:tcPr>
          <w:p w:rsidR="00E66558" w:rsidRDefault="009D71E8">
            <w:pPr>
              <w:pStyle w:val="TableRow"/>
              <w:cnfStyle w:val="001000000000" w:firstRow="0" w:lastRow="0" w:firstColumn="1" w:lastColumn="0" w:oddVBand="0" w:evenVBand="0" w:oddHBand="0" w:evenHBand="0" w:firstRowFirstColumn="0" w:firstRowLastColumn="0" w:lastRowFirstColumn="0" w:lastRowLastColumn="0"/>
            </w:pPr>
            <w:r>
              <w:t>Proportion (%) of pupil premium eligible pupils</w:t>
            </w:r>
          </w:p>
        </w:tc>
        <w:tc>
          <w:tcPr>
            <w:tcW w:w="3395" w:type="dxa"/>
          </w:tcPr>
          <w:p w:rsidR="00E66558" w:rsidRDefault="00AC55B0">
            <w:pPr>
              <w:pStyle w:val="TableRow"/>
            </w:pPr>
            <w:r>
              <w:t>4</w:t>
            </w:r>
            <w:r w:rsidR="00F1314B">
              <w:t>2.9</w:t>
            </w:r>
            <w:r w:rsidR="001D59F4">
              <w:t>% (</w:t>
            </w:r>
            <w:r>
              <w:t>1</w:t>
            </w:r>
            <w:r w:rsidR="00F1314B">
              <w:t>30</w:t>
            </w:r>
            <w:r w:rsidR="001D59F4">
              <w:t>)</w:t>
            </w:r>
          </w:p>
        </w:tc>
      </w:tr>
      <w:tr w:rsidR="00E66558" w:rsidTr="001D59F4">
        <w:tc>
          <w:tcPr>
            <w:cnfStyle w:val="001000000000" w:firstRow="0" w:lastRow="0" w:firstColumn="1" w:lastColumn="0" w:oddVBand="0" w:evenVBand="0" w:oddHBand="0" w:evenHBand="0" w:firstRowFirstColumn="0" w:firstRowLastColumn="0" w:lastRowFirstColumn="0" w:lastRowLastColumn="0"/>
            <w:tcW w:w="6091" w:type="dxa"/>
          </w:tcPr>
          <w:p w:rsidR="00E66558" w:rsidRDefault="009D71E8">
            <w:pPr>
              <w:pStyle w:val="TableRow"/>
            </w:pPr>
            <w:r>
              <w:rPr>
                <w:szCs w:val="22"/>
              </w:rPr>
              <w:t>Academic year/years that our current pupil premium strategy plan covers (</w:t>
            </w:r>
            <w:proofErr w:type="gramStart"/>
            <w:r>
              <w:rPr>
                <w:szCs w:val="22"/>
              </w:rPr>
              <w:t>3 year</w:t>
            </w:r>
            <w:proofErr w:type="gramEnd"/>
            <w:r>
              <w:rPr>
                <w:szCs w:val="22"/>
              </w:rPr>
              <w:t xml:space="preserve"> plans are recommended)</w:t>
            </w:r>
          </w:p>
        </w:tc>
        <w:tc>
          <w:tcPr>
            <w:tcW w:w="3395" w:type="dxa"/>
          </w:tcPr>
          <w:p w:rsidR="001D59F4" w:rsidRPr="00E27862" w:rsidRDefault="001D59F4" w:rsidP="001D59F4">
            <w:pPr>
              <w:pStyle w:val="TableRow"/>
              <w:cnfStyle w:val="000000000000" w:firstRow="0" w:lastRow="0" w:firstColumn="0" w:lastColumn="0" w:oddVBand="0" w:evenVBand="0" w:oddHBand="0" w:evenHBand="0" w:firstRowFirstColumn="0" w:firstRowLastColumn="0" w:lastRowFirstColumn="0" w:lastRowLastColumn="0"/>
              <w:rPr>
                <w:color w:val="auto"/>
              </w:rPr>
            </w:pPr>
            <w:r w:rsidRPr="00E27862">
              <w:rPr>
                <w:color w:val="auto"/>
              </w:rPr>
              <w:t xml:space="preserve">2021/2022 to </w:t>
            </w:r>
          </w:p>
          <w:p w:rsidR="00E66558" w:rsidRDefault="001D59F4" w:rsidP="001D59F4">
            <w:pPr>
              <w:pStyle w:val="TableRow"/>
              <w:cnfStyle w:val="000000000000" w:firstRow="0" w:lastRow="0" w:firstColumn="0" w:lastColumn="0" w:oddVBand="0" w:evenVBand="0" w:oddHBand="0" w:evenHBand="0" w:firstRowFirstColumn="0" w:firstRowLastColumn="0" w:lastRowFirstColumn="0" w:lastRowLastColumn="0"/>
            </w:pPr>
            <w:r w:rsidRPr="00E27862">
              <w:rPr>
                <w:color w:val="auto"/>
              </w:rPr>
              <w:t>2024/2025</w:t>
            </w:r>
          </w:p>
        </w:tc>
      </w:tr>
      <w:tr w:rsidR="00E66558" w:rsidTr="001D59F4">
        <w:tc>
          <w:tcPr>
            <w:tcW w:w="6091" w:type="dxa"/>
          </w:tcPr>
          <w:p w:rsidR="00E66558" w:rsidRDefault="009D71E8">
            <w:pPr>
              <w:pStyle w:val="TableRow"/>
              <w:cnfStyle w:val="001000000000" w:firstRow="0" w:lastRow="0" w:firstColumn="1" w:lastColumn="0" w:oddVBand="0" w:evenVBand="0" w:oddHBand="0" w:evenHBand="0" w:firstRowFirstColumn="0" w:firstRowLastColumn="0" w:lastRowFirstColumn="0" w:lastRowLastColumn="0"/>
            </w:pPr>
            <w:r>
              <w:rPr>
                <w:szCs w:val="22"/>
              </w:rPr>
              <w:t>Date this statement was published</w:t>
            </w:r>
          </w:p>
        </w:tc>
        <w:tc>
          <w:tcPr>
            <w:tcW w:w="3395" w:type="dxa"/>
          </w:tcPr>
          <w:p w:rsidR="00E66558" w:rsidRDefault="001D59F4">
            <w:pPr>
              <w:pStyle w:val="TableRow"/>
            </w:pPr>
            <w:r>
              <w:t>December 202</w:t>
            </w:r>
            <w:r w:rsidR="00F1314B">
              <w:t>3</w:t>
            </w:r>
          </w:p>
        </w:tc>
      </w:tr>
      <w:tr w:rsidR="00E66558" w:rsidTr="001D59F4">
        <w:tc>
          <w:tcPr>
            <w:tcW w:w="6091" w:type="dxa"/>
          </w:tcPr>
          <w:p w:rsidR="00E66558" w:rsidRDefault="009D71E8">
            <w:pPr>
              <w:pStyle w:val="TableRow"/>
              <w:cnfStyle w:val="001000000000" w:firstRow="0" w:lastRow="0" w:firstColumn="1" w:lastColumn="0" w:oddVBand="0" w:evenVBand="0" w:oddHBand="0" w:evenHBand="0" w:firstRowFirstColumn="0" w:firstRowLastColumn="0" w:lastRowFirstColumn="0" w:lastRowLastColumn="0"/>
            </w:pPr>
            <w:r>
              <w:rPr>
                <w:szCs w:val="22"/>
              </w:rPr>
              <w:t>Date on which it will be reviewed</w:t>
            </w:r>
          </w:p>
        </w:tc>
        <w:tc>
          <w:tcPr>
            <w:tcW w:w="3395" w:type="dxa"/>
          </w:tcPr>
          <w:p w:rsidR="00E66558" w:rsidRDefault="00F1314B">
            <w:pPr>
              <w:pStyle w:val="TableRow"/>
            </w:pPr>
            <w:r>
              <w:t>December</w:t>
            </w:r>
            <w:r w:rsidR="00711705">
              <w:t xml:space="preserve"> 202</w:t>
            </w:r>
            <w:r>
              <w:t>4</w:t>
            </w:r>
          </w:p>
        </w:tc>
      </w:tr>
      <w:tr w:rsidR="00E66558" w:rsidTr="001D59F4">
        <w:tc>
          <w:tcPr>
            <w:cnfStyle w:val="001000000000" w:firstRow="0" w:lastRow="0" w:firstColumn="1" w:lastColumn="0" w:oddVBand="0" w:evenVBand="0" w:oddHBand="0" w:evenHBand="0" w:firstRowFirstColumn="0" w:firstRowLastColumn="0" w:lastRowFirstColumn="0" w:lastRowLastColumn="0"/>
            <w:tcW w:w="6091" w:type="dxa"/>
          </w:tcPr>
          <w:p w:rsidR="00E66558" w:rsidRDefault="009D71E8">
            <w:pPr>
              <w:pStyle w:val="TableRow"/>
            </w:pPr>
            <w:r>
              <w:t>Statement authorised by</w:t>
            </w:r>
          </w:p>
        </w:tc>
        <w:tc>
          <w:tcPr>
            <w:tcW w:w="3395" w:type="dxa"/>
          </w:tcPr>
          <w:p w:rsidR="00E66558" w:rsidRDefault="001D59F4">
            <w:pPr>
              <w:pStyle w:val="TableRow"/>
              <w:cnfStyle w:val="000000000000" w:firstRow="0" w:lastRow="0" w:firstColumn="0" w:lastColumn="0" w:oddVBand="0" w:evenVBand="0" w:oddHBand="0" w:evenHBand="0" w:firstRowFirstColumn="0" w:firstRowLastColumn="0" w:lastRowFirstColumn="0" w:lastRowLastColumn="0"/>
            </w:pPr>
            <w:r>
              <w:t>Martin Bell</w:t>
            </w:r>
          </w:p>
          <w:p w:rsidR="001D59F4" w:rsidRDefault="001D59F4">
            <w:pPr>
              <w:pStyle w:val="TableRow"/>
              <w:cnfStyle w:val="000000000000" w:firstRow="0" w:lastRow="0" w:firstColumn="0" w:lastColumn="0" w:oddVBand="0" w:evenVBand="0" w:oddHBand="0" w:evenHBand="0" w:firstRowFirstColumn="0" w:firstRowLastColumn="0" w:lastRowFirstColumn="0" w:lastRowLastColumn="0"/>
            </w:pPr>
            <w:r>
              <w:t>Headteacher</w:t>
            </w:r>
          </w:p>
        </w:tc>
      </w:tr>
      <w:tr w:rsidR="00E66558" w:rsidTr="001D59F4">
        <w:tc>
          <w:tcPr>
            <w:cnfStyle w:val="001000000000" w:firstRow="0" w:lastRow="0" w:firstColumn="1" w:lastColumn="0" w:oddVBand="0" w:evenVBand="0" w:oddHBand="0" w:evenHBand="0" w:firstRowFirstColumn="0" w:firstRowLastColumn="0" w:lastRowFirstColumn="0" w:lastRowLastColumn="0"/>
            <w:tcW w:w="6091" w:type="dxa"/>
          </w:tcPr>
          <w:p w:rsidR="00E66558" w:rsidRDefault="009D71E8">
            <w:pPr>
              <w:pStyle w:val="TableRow"/>
            </w:pPr>
            <w:r>
              <w:t>Pupil premium lead</w:t>
            </w:r>
          </w:p>
        </w:tc>
        <w:tc>
          <w:tcPr>
            <w:tcW w:w="3395" w:type="dxa"/>
          </w:tcPr>
          <w:p w:rsidR="00E66558" w:rsidRDefault="001D59F4">
            <w:pPr>
              <w:pStyle w:val="TableRow"/>
              <w:cnfStyle w:val="000000000000" w:firstRow="0" w:lastRow="0" w:firstColumn="0" w:lastColumn="0" w:oddVBand="0" w:evenVBand="0" w:oddHBand="0" w:evenHBand="0" w:firstRowFirstColumn="0" w:firstRowLastColumn="0" w:lastRowFirstColumn="0" w:lastRowLastColumn="0"/>
            </w:pPr>
            <w:r>
              <w:t>Katie Ullein</w:t>
            </w:r>
          </w:p>
          <w:p w:rsidR="001D59F4" w:rsidRDefault="001D59F4">
            <w:pPr>
              <w:pStyle w:val="TableRow"/>
              <w:cnfStyle w:val="000000000000" w:firstRow="0" w:lastRow="0" w:firstColumn="0" w:lastColumn="0" w:oddVBand="0" w:evenVBand="0" w:oddHBand="0" w:evenHBand="0" w:firstRowFirstColumn="0" w:firstRowLastColumn="0" w:lastRowFirstColumn="0" w:lastRowLastColumn="0"/>
            </w:pPr>
            <w:r>
              <w:t>Deputy Headteacher</w:t>
            </w:r>
          </w:p>
        </w:tc>
      </w:tr>
      <w:tr w:rsidR="00E66558" w:rsidTr="001D59F4">
        <w:tc>
          <w:tcPr>
            <w:cnfStyle w:val="001000000000" w:firstRow="0" w:lastRow="0" w:firstColumn="1" w:lastColumn="0" w:oddVBand="0" w:evenVBand="0" w:oddHBand="0" w:evenHBand="0" w:firstRowFirstColumn="0" w:firstRowLastColumn="0" w:lastRowFirstColumn="0" w:lastRowLastColumn="0"/>
            <w:tcW w:w="6091" w:type="dxa"/>
          </w:tcPr>
          <w:p w:rsidR="00E66558" w:rsidRDefault="009D71E8">
            <w:pPr>
              <w:pStyle w:val="TableRow"/>
            </w:pPr>
            <w:r>
              <w:t xml:space="preserve">Governor </w:t>
            </w:r>
            <w:r>
              <w:rPr>
                <w:szCs w:val="22"/>
              </w:rPr>
              <w:t xml:space="preserve">/ Trustee </w:t>
            </w:r>
            <w:r>
              <w:t>lead</w:t>
            </w:r>
          </w:p>
        </w:tc>
        <w:tc>
          <w:tcPr>
            <w:tcW w:w="3395" w:type="dxa"/>
          </w:tcPr>
          <w:p w:rsidR="00E66558" w:rsidRDefault="001D59F4">
            <w:pPr>
              <w:pStyle w:val="TableRow"/>
              <w:cnfStyle w:val="000000000000" w:firstRow="0" w:lastRow="0" w:firstColumn="0" w:lastColumn="0" w:oddVBand="0" w:evenVBand="0" w:oddHBand="0" w:evenHBand="0" w:firstRowFirstColumn="0" w:firstRowLastColumn="0" w:lastRowFirstColumn="0" w:lastRowLastColumn="0"/>
            </w:pPr>
            <w:r w:rsidRPr="00CB7662">
              <w:rPr>
                <w:rFonts w:cs="Arial"/>
                <w:szCs w:val="22"/>
                <w:lang w:val="en"/>
              </w:rPr>
              <w:t>Georgia Winstanley</w:t>
            </w:r>
          </w:p>
        </w:tc>
      </w:tr>
    </w:tbl>
    <w:bookmarkEnd w:id="2"/>
    <w:bookmarkEnd w:id="3"/>
    <w:bookmarkEnd w:id="4"/>
    <w:p w:rsidR="00E66558" w:rsidRPr="001D59F4" w:rsidRDefault="009D71E8">
      <w:pPr>
        <w:spacing w:before="480" w:line="240" w:lineRule="auto"/>
        <w:rPr>
          <w:b/>
          <w:color w:val="FF0000"/>
          <w:sz w:val="32"/>
          <w:szCs w:val="32"/>
        </w:rPr>
      </w:pPr>
      <w:r w:rsidRPr="001D59F4">
        <w:rPr>
          <w:b/>
          <w:color w:val="FF0000"/>
          <w:sz w:val="32"/>
          <w:szCs w:val="32"/>
        </w:rPr>
        <w:t>Funding overview</w:t>
      </w:r>
    </w:p>
    <w:tbl>
      <w:tblPr>
        <w:tblStyle w:val="GridTable1Light"/>
        <w:tblW w:w="9486" w:type="dxa"/>
        <w:tblLook w:val="04A0" w:firstRow="1" w:lastRow="0" w:firstColumn="1" w:lastColumn="0" w:noHBand="0" w:noVBand="1"/>
      </w:tblPr>
      <w:tblGrid>
        <w:gridCol w:w="6516"/>
        <w:gridCol w:w="2970"/>
      </w:tblGrid>
      <w:tr w:rsidR="00E66558" w:rsidTr="001D59F4">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6516" w:type="dxa"/>
          </w:tcPr>
          <w:p w:rsidR="00E66558" w:rsidRDefault="009D71E8">
            <w:pPr>
              <w:pStyle w:val="TableRow"/>
            </w:pPr>
            <w:r>
              <w:t>Detail</w:t>
            </w:r>
          </w:p>
        </w:tc>
        <w:tc>
          <w:tcPr>
            <w:tcW w:w="2970" w:type="dxa"/>
          </w:tcPr>
          <w:p w:rsidR="00E66558" w:rsidRDefault="009D71E8">
            <w:pPr>
              <w:pStyle w:val="TableRow"/>
              <w:cnfStyle w:val="100000000000" w:firstRow="1" w:lastRow="0" w:firstColumn="0" w:lastColumn="0" w:oddVBand="0" w:evenVBand="0" w:oddHBand="0" w:evenHBand="0" w:firstRowFirstColumn="0" w:firstRowLastColumn="0" w:lastRowFirstColumn="0" w:lastRowLastColumn="0"/>
            </w:pPr>
            <w:r>
              <w:t>Amount</w:t>
            </w:r>
          </w:p>
        </w:tc>
      </w:tr>
      <w:tr w:rsidR="00E66558" w:rsidTr="001D59F4">
        <w:trPr>
          <w:trHeight w:val="374"/>
        </w:trPr>
        <w:tc>
          <w:tcPr>
            <w:tcW w:w="6516" w:type="dxa"/>
          </w:tcPr>
          <w:p w:rsidR="00E66558" w:rsidRDefault="009D71E8">
            <w:pPr>
              <w:pStyle w:val="TableRow"/>
              <w:cnfStyle w:val="001000000000" w:firstRow="0" w:lastRow="0" w:firstColumn="1" w:lastColumn="0" w:oddVBand="0" w:evenVBand="0" w:oddHBand="0" w:evenHBand="0" w:firstRowFirstColumn="0" w:firstRowLastColumn="0" w:lastRowFirstColumn="0" w:lastRowLastColumn="0"/>
            </w:pPr>
            <w:r>
              <w:t>Pupil premium funding allocation this academic year</w:t>
            </w:r>
          </w:p>
        </w:tc>
        <w:tc>
          <w:tcPr>
            <w:tcW w:w="2970" w:type="dxa"/>
          </w:tcPr>
          <w:p w:rsidR="00E66558" w:rsidRDefault="009D71E8">
            <w:pPr>
              <w:pStyle w:val="TableRow"/>
            </w:pPr>
            <w:r>
              <w:t>£</w:t>
            </w:r>
            <w:r w:rsidR="00D332BB">
              <w:rPr>
                <w:rFonts w:cs="Arial"/>
                <w:lang w:val="en"/>
              </w:rPr>
              <w:t>1</w:t>
            </w:r>
            <w:r w:rsidR="00F1314B">
              <w:rPr>
                <w:rFonts w:cs="Arial"/>
                <w:lang w:val="en"/>
              </w:rPr>
              <w:t>87,605</w:t>
            </w:r>
          </w:p>
        </w:tc>
      </w:tr>
      <w:tr w:rsidR="00E66558" w:rsidTr="001D59F4">
        <w:trPr>
          <w:trHeight w:val="374"/>
        </w:trPr>
        <w:tc>
          <w:tcPr>
            <w:tcW w:w="6516" w:type="dxa"/>
          </w:tcPr>
          <w:p w:rsidR="00E66558" w:rsidRDefault="009D71E8">
            <w:pPr>
              <w:pStyle w:val="TableRow"/>
              <w:cnfStyle w:val="001000000000" w:firstRow="0" w:lastRow="0" w:firstColumn="1" w:lastColumn="0" w:oddVBand="0" w:evenVBand="0" w:oddHBand="0" w:evenHBand="0" w:firstRowFirstColumn="0" w:firstRowLastColumn="0" w:lastRowFirstColumn="0" w:lastRowLastColumn="0"/>
            </w:pPr>
            <w:r>
              <w:t>Recovery premium funding allocation this academic year</w:t>
            </w:r>
          </w:p>
        </w:tc>
        <w:tc>
          <w:tcPr>
            <w:tcW w:w="2970" w:type="dxa"/>
          </w:tcPr>
          <w:p w:rsidR="00E66558" w:rsidRDefault="009D71E8">
            <w:pPr>
              <w:pStyle w:val="TableRow"/>
            </w:pPr>
            <w:r>
              <w:t>£</w:t>
            </w:r>
            <w:r w:rsidR="00F1314B">
              <w:t>13,957</w:t>
            </w:r>
            <w:r w:rsidR="00380A59">
              <w:t xml:space="preserve"> + </w:t>
            </w:r>
            <w:r w:rsidR="00F1314B">
              <w:t xml:space="preserve">£9,849 </w:t>
            </w:r>
            <w:r w:rsidR="00380A59">
              <w:t xml:space="preserve">tuition funding </w:t>
            </w:r>
          </w:p>
        </w:tc>
      </w:tr>
      <w:tr w:rsidR="00E66558" w:rsidTr="001D59F4">
        <w:trPr>
          <w:trHeight w:val="374"/>
        </w:trPr>
        <w:tc>
          <w:tcPr>
            <w:cnfStyle w:val="001000000000" w:firstRow="0" w:lastRow="0" w:firstColumn="1" w:lastColumn="0" w:oddVBand="0" w:evenVBand="0" w:oddHBand="0" w:evenHBand="0" w:firstRowFirstColumn="0" w:firstRowLastColumn="0" w:lastRowFirstColumn="0" w:lastRowLastColumn="0"/>
            <w:tcW w:w="6516" w:type="dxa"/>
          </w:tcPr>
          <w:p w:rsidR="00E66558" w:rsidRDefault="009D71E8">
            <w:pPr>
              <w:pStyle w:val="TableRow"/>
            </w:pPr>
            <w:r>
              <w:t>Pupil premium funding carried forward from previous years (enter £0 if not applicable)</w:t>
            </w:r>
          </w:p>
        </w:tc>
        <w:tc>
          <w:tcPr>
            <w:tcW w:w="2970" w:type="dxa"/>
          </w:tcPr>
          <w:p w:rsidR="00E66558" w:rsidRDefault="009D71E8">
            <w:pPr>
              <w:pStyle w:val="TableRow"/>
              <w:cnfStyle w:val="000000000000" w:firstRow="0" w:lastRow="0" w:firstColumn="0" w:lastColumn="0" w:oddVBand="0" w:evenVBand="0" w:oddHBand="0" w:evenHBand="0" w:firstRowFirstColumn="0" w:firstRowLastColumn="0" w:lastRowFirstColumn="0" w:lastRowLastColumn="0"/>
            </w:pPr>
            <w:r>
              <w:t>£</w:t>
            </w:r>
            <w:r w:rsidR="001D59F4">
              <w:t>0</w:t>
            </w:r>
          </w:p>
        </w:tc>
      </w:tr>
      <w:tr w:rsidR="00E66558" w:rsidTr="001D59F4">
        <w:tc>
          <w:tcPr>
            <w:tcW w:w="6516" w:type="dxa"/>
          </w:tcPr>
          <w:p w:rsidR="00E66558" w:rsidRDefault="009D71E8">
            <w:pPr>
              <w:pStyle w:val="TableRow"/>
              <w:cnfStyle w:val="001000000000" w:firstRow="0" w:lastRow="0" w:firstColumn="1" w:lastColumn="0" w:oddVBand="0" w:evenVBand="0" w:oddHBand="0" w:evenHBand="0" w:firstRowFirstColumn="0" w:firstRowLastColumn="0" w:lastRowFirstColumn="0" w:lastRowLastColumn="0"/>
              <w:rPr>
                <w:b w:val="0"/>
              </w:rPr>
            </w:pPr>
            <w:r>
              <w:t>Total budget for this academic year</w:t>
            </w:r>
          </w:p>
          <w:p w:rsidR="00E66558" w:rsidRDefault="009D71E8">
            <w:pPr>
              <w:pStyle w:val="TableRow"/>
              <w:cnfStyle w:val="001000000000" w:firstRow="0" w:lastRow="0" w:firstColumn="1" w:lastColumn="0" w:oddVBand="0" w:evenVBand="0" w:oddHBand="0" w:evenHBand="0" w:firstRowFirstColumn="0" w:firstRowLastColumn="0" w:lastRowFirstColumn="0" w:lastRowLastColumn="0"/>
            </w:pPr>
            <w:r>
              <w:t>If your school is an academy in a trust that pools this funding, state the amount available to your school this academic year</w:t>
            </w:r>
          </w:p>
        </w:tc>
        <w:tc>
          <w:tcPr>
            <w:tcW w:w="2970" w:type="dxa"/>
          </w:tcPr>
          <w:p w:rsidR="00E66558" w:rsidRDefault="009D71E8" w:rsidP="00380A59">
            <w:pPr>
              <w:pStyle w:val="TableRow"/>
            </w:pPr>
            <w:r>
              <w:t>£</w:t>
            </w:r>
            <w:r w:rsidR="00F1314B">
              <w:t>211,411</w:t>
            </w:r>
          </w:p>
        </w:tc>
      </w:tr>
    </w:tbl>
    <w:p w:rsidR="00E66558" w:rsidRPr="001D59F4" w:rsidRDefault="009D71E8">
      <w:pPr>
        <w:pStyle w:val="Heading1"/>
        <w:rPr>
          <w:color w:val="auto"/>
        </w:rPr>
      </w:pPr>
      <w:r w:rsidRPr="001D59F4">
        <w:rPr>
          <w:color w:val="auto"/>
        </w:rPr>
        <w:lastRenderedPageBreak/>
        <w:t>Part A: Pupil premium strategy plan</w:t>
      </w:r>
    </w:p>
    <w:p w:rsidR="00E66558" w:rsidRPr="001D59F4" w:rsidRDefault="009D71E8">
      <w:pPr>
        <w:pStyle w:val="Heading2"/>
        <w:rPr>
          <w:color w:val="FF0000"/>
        </w:rPr>
      </w:pPr>
      <w:bookmarkStart w:id="14" w:name="_Toc357771640"/>
      <w:bookmarkStart w:id="15" w:name="_Toc346793418"/>
      <w:r w:rsidRPr="001D59F4">
        <w:rPr>
          <w:color w:val="FF0000"/>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A91" w:rsidRDefault="006D0A91" w:rsidP="00D332BB">
            <w:pPr>
              <w:ind w:left="360"/>
              <w:rPr>
                <w:i/>
                <w:iCs/>
              </w:rPr>
            </w:pPr>
          </w:p>
          <w:p w:rsidR="00D332BB" w:rsidRPr="00D332BB" w:rsidRDefault="00D332BB" w:rsidP="00D332BB">
            <w:pPr>
              <w:ind w:left="360"/>
              <w:rPr>
                <w:iCs/>
              </w:rPr>
            </w:pPr>
            <w:r w:rsidRPr="00D332BB">
              <w:rPr>
                <w:iCs/>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rsidR="00D332BB" w:rsidRPr="00D332BB" w:rsidRDefault="00D332BB" w:rsidP="00D332BB">
            <w:pPr>
              <w:ind w:left="360"/>
              <w:rPr>
                <w:iCs/>
              </w:rPr>
            </w:pPr>
            <w:r w:rsidRPr="00D332BB">
              <w:rPr>
                <w:iCs/>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00D332BB" w:rsidRPr="00D332BB" w:rsidRDefault="00D332BB" w:rsidP="00D332BB">
            <w:pPr>
              <w:ind w:left="360"/>
              <w:rPr>
                <w:iCs/>
              </w:rPr>
            </w:pPr>
            <w:r w:rsidRPr="00D332BB">
              <w:rPr>
                <w:iC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D332BB" w:rsidRPr="00D332BB" w:rsidRDefault="00D332BB" w:rsidP="00D332BB">
            <w:pPr>
              <w:ind w:left="360"/>
              <w:rPr>
                <w:iCs/>
              </w:rPr>
            </w:pPr>
            <w:r w:rsidRPr="00D332BB">
              <w:rPr>
                <w:iCs/>
              </w:rPr>
              <w:t xml:space="preserve">Our strategy is also integral to wider school plans for education recovery, notably in its targeted support through the National Tutoring Programme for pupils whose education has been worst affected, including non-disadvantaged pupils.    </w:t>
            </w:r>
          </w:p>
          <w:p w:rsidR="00D332BB" w:rsidRPr="00D332BB" w:rsidRDefault="00D332BB" w:rsidP="00D332BB">
            <w:pPr>
              <w:ind w:left="360"/>
              <w:rPr>
                <w:iCs/>
              </w:rPr>
            </w:pPr>
            <w:r w:rsidRPr="00D332BB">
              <w:rPr>
                <w:iC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D332BB" w:rsidRPr="00D332BB" w:rsidRDefault="00D332BB" w:rsidP="00D332BB">
            <w:pPr>
              <w:ind w:left="360"/>
              <w:rPr>
                <w:iCs/>
              </w:rPr>
            </w:pPr>
            <w:r w:rsidRPr="00D332BB">
              <w:rPr>
                <w:iCs/>
              </w:rPr>
              <w:t>•</w:t>
            </w:r>
            <w:r w:rsidRPr="00D332BB">
              <w:rPr>
                <w:iCs/>
              </w:rPr>
              <w:tab/>
              <w:t>ensure disadvantaged pupils are challenged in the work that they’re set</w:t>
            </w:r>
          </w:p>
          <w:p w:rsidR="00D332BB" w:rsidRPr="00D332BB" w:rsidRDefault="00D332BB" w:rsidP="00D332BB">
            <w:pPr>
              <w:ind w:left="360"/>
              <w:rPr>
                <w:iCs/>
              </w:rPr>
            </w:pPr>
            <w:r w:rsidRPr="00D332BB">
              <w:rPr>
                <w:iCs/>
              </w:rPr>
              <w:t>•</w:t>
            </w:r>
            <w:r w:rsidRPr="00D332BB">
              <w:rPr>
                <w:iCs/>
              </w:rPr>
              <w:tab/>
              <w:t>act early to intervene at the point need is identified</w:t>
            </w:r>
          </w:p>
          <w:p w:rsidR="00D332BB" w:rsidRDefault="00D332BB" w:rsidP="00D332BB">
            <w:pPr>
              <w:ind w:left="360"/>
              <w:rPr>
                <w:iCs/>
              </w:rPr>
            </w:pPr>
            <w:r w:rsidRPr="00D332BB">
              <w:rPr>
                <w:iCs/>
              </w:rPr>
              <w:t>•</w:t>
            </w:r>
            <w:r w:rsidRPr="00D332BB">
              <w:rPr>
                <w:iCs/>
              </w:rPr>
              <w:tab/>
              <w:t xml:space="preserve">adopt a whole school approach in which all staff take responsibility for </w:t>
            </w:r>
            <w:r w:rsidR="006D0A91">
              <w:rPr>
                <w:iCs/>
              </w:rPr>
              <w:t xml:space="preserve">  disadvan</w:t>
            </w:r>
            <w:r w:rsidRPr="00D332BB">
              <w:rPr>
                <w:iCs/>
              </w:rPr>
              <w:t>taged pupils’ outcomes and raise expectations of what they can achieve</w:t>
            </w:r>
          </w:p>
          <w:p w:rsidR="006D0A91" w:rsidRPr="00D332BB" w:rsidRDefault="006D0A91" w:rsidP="00D332BB">
            <w:pPr>
              <w:ind w:left="360"/>
              <w:rPr>
                <w:i/>
                <w:iCs/>
              </w:rPr>
            </w:pPr>
          </w:p>
        </w:tc>
      </w:tr>
    </w:tbl>
    <w:p w:rsidR="00E66558" w:rsidRPr="001D59F4" w:rsidRDefault="009D71E8">
      <w:pPr>
        <w:pStyle w:val="Heading2"/>
        <w:spacing w:before="600"/>
        <w:rPr>
          <w:color w:val="FF0000"/>
        </w:rPr>
      </w:pPr>
      <w:r w:rsidRPr="001D59F4">
        <w:rPr>
          <w:color w:val="FF0000"/>
        </w:rP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Style w:val="GridTable1Light"/>
        <w:tblW w:w="5456" w:type="pct"/>
        <w:tblInd w:w="-289" w:type="dxa"/>
        <w:tblLook w:val="04A0" w:firstRow="1" w:lastRow="0" w:firstColumn="1" w:lastColumn="0" w:noHBand="0" w:noVBand="1"/>
      </w:tblPr>
      <w:tblGrid>
        <w:gridCol w:w="1418"/>
        <w:gridCol w:w="8933"/>
      </w:tblGrid>
      <w:tr w:rsidR="00E66558" w:rsidTr="003B0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E66558" w:rsidRDefault="009D71E8">
            <w:pPr>
              <w:pStyle w:val="TableHeader"/>
              <w:jc w:val="left"/>
            </w:pPr>
            <w:r>
              <w:t>Challenge number</w:t>
            </w:r>
          </w:p>
        </w:tc>
        <w:tc>
          <w:tcPr>
            <w:tcW w:w="8933"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 xml:space="preserve">Detail of challenge </w:t>
            </w:r>
          </w:p>
        </w:tc>
      </w:tr>
      <w:tr w:rsidR="00E66558" w:rsidTr="003B0822">
        <w:tc>
          <w:tcPr>
            <w:cnfStyle w:val="001000000000" w:firstRow="0" w:lastRow="0" w:firstColumn="1" w:lastColumn="0" w:oddVBand="0" w:evenVBand="0" w:oddHBand="0" w:evenHBand="0" w:firstRowFirstColumn="0" w:firstRowLastColumn="0" w:lastRowFirstColumn="0" w:lastRowLastColumn="0"/>
            <w:tcW w:w="1418" w:type="dxa"/>
          </w:tcPr>
          <w:p w:rsidR="00E66558" w:rsidRDefault="009D71E8">
            <w:pPr>
              <w:pStyle w:val="TableRow"/>
              <w:rPr>
                <w:sz w:val="22"/>
                <w:szCs w:val="22"/>
              </w:rPr>
            </w:pPr>
            <w:r>
              <w:rPr>
                <w:sz w:val="22"/>
                <w:szCs w:val="22"/>
              </w:rPr>
              <w:t>1</w:t>
            </w:r>
          </w:p>
        </w:tc>
        <w:tc>
          <w:tcPr>
            <w:tcW w:w="8933" w:type="dxa"/>
          </w:tcPr>
          <w:p w:rsidR="00690D53"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 xml:space="preserve">Children entering school with poor </w:t>
            </w:r>
            <w:proofErr w:type="spellStart"/>
            <w:r w:rsidRPr="00AF108F">
              <w:rPr>
                <w:rFonts w:cs="Calibri"/>
              </w:rPr>
              <w:t>Oracy</w:t>
            </w:r>
            <w:proofErr w:type="spellEnd"/>
            <w:r w:rsidRPr="00AF108F">
              <w:rPr>
                <w:rFonts w:cs="Calibri"/>
              </w:rPr>
              <w:t xml:space="preserve"> and Communication skills.</w:t>
            </w:r>
            <w:r>
              <w:rPr>
                <w:rFonts w:cs="Calibri"/>
              </w:rPr>
              <w:t xml:space="preserve"> </w:t>
            </w:r>
          </w:p>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BD5C8D">
              <w:rPr>
                <w:rFonts w:cs="Calibri"/>
              </w:rPr>
              <w:t>Access to language and communication</w:t>
            </w:r>
            <w:r>
              <w:rPr>
                <w:rFonts w:cs="Calibri"/>
              </w:rPr>
              <w:t>.</w:t>
            </w:r>
          </w:p>
          <w:p w:rsidR="00690D53" w:rsidRDefault="000F3603" w:rsidP="00690D5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Majority have general language difficulties (delaye</w:t>
            </w:r>
            <w:r w:rsidR="00583160">
              <w:rPr>
                <w:rFonts w:cs="Calibri"/>
              </w:rPr>
              <w:t xml:space="preserve">d language </w:t>
            </w:r>
            <w:r w:rsidRPr="00AF108F">
              <w:rPr>
                <w:rFonts w:cs="Calibri"/>
              </w:rPr>
              <w:t xml:space="preserve">development). </w:t>
            </w:r>
          </w:p>
          <w:p w:rsidR="00E66558" w:rsidRPr="00690D53" w:rsidRDefault="000F3603" w:rsidP="00690D5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EAL children with add</w:t>
            </w:r>
            <w:r>
              <w:rPr>
                <w:rFonts w:cs="Calibri"/>
              </w:rPr>
              <w:t>itional language needs.</w:t>
            </w:r>
          </w:p>
        </w:tc>
      </w:tr>
      <w:tr w:rsidR="00E66558" w:rsidTr="003B0822">
        <w:tc>
          <w:tcPr>
            <w:cnfStyle w:val="001000000000" w:firstRow="0" w:lastRow="0" w:firstColumn="1" w:lastColumn="0" w:oddVBand="0" w:evenVBand="0" w:oddHBand="0" w:evenHBand="0" w:firstRowFirstColumn="0" w:firstRowLastColumn="0" w:lastRowFirstColumn="0" w:lastRowLastColumn="0"/>
            <w:tcW w:w="1418" w:type="dxa"/>
          </w:tcPr>
          <w:p w:rsidR="00E66558" w:rsidRDefault="009D71E8">
            <w:pPr>
              <w:pStyle w:val="TableRow"/>
              <w:rPr>
                <w:sz w:val="22"/>
                <w:szCs w:val="22"/>
              </w:rPr>
            </w:pPr>
            <w:r>
              <w:rPr>
                <w:sz w:val="22"/>
                <w:szCs w:val="22"/>
              </w:rPr>
              <w:t>2</w:t>
            </w:r>
          </w:p>
        </w:tc>
        <w:tc>
          <w:tcPr>
            <w:tcW w:w="8933" w:type="dxa"/>
          </w:tcPr>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smartTag w:uri="urn:schemas-microsoft-com:office:smarttags" w:element="place">
              <w:smartTag w:uri="urn:schemas-microsoft-com:office:smarttags" w:element="City">
                <w:r w:rsidRPr="00AF108F">
                  <w:rPr>
                    <w:rFonts w:cs="Calibri"/>
                  </w:rPr>
                  <w:t>Readin</w:t>
                </w:r>
                <w:r>
                  <w:rPr>
                    <w:rFonts w:cs="Calibri"/>
                  </w:rPr>
                  <w:t>g</w:t>
                </w:r>
              </w:smartTag>
            </w:smartTag>
            <w:r>
              <w:rPr>
                <w:rFonts w:cs="Calibri"/>
              </w:rPr>
              <w:t xml:space="preserve"> gaps in learning</w:t>
            </w:r>
            <w:r w:rsidRPr="00AF108F">
              <w:rPr>
                <w:rFonts w:cs="Calibri"/>
              </w:rPr>
              <w:t xml:space="preserve">: </w:t>
            </w:r>
          </w:p>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EYFS – lower range of vocabulary (evidenced on-entry data to school); less frequent daily individual reading at home; greater difficulty in retaining and app</w:t>
            </w:r>
            <w:r>
              <w:rPr>
                <w:rFonts w:cs="Calibri"/>
              </w:rPr>
              <w:t>lying phonics (evidenced o</w:t>
            </w:r>
            <w:r w:rsidR="008464DA">
              <w:rPr>
                <w:rFonts w:cs="Calibri"/>
              </w:rPr>
              <w:t>n Tapestry</w:t>
            </w:r>
            <w:r w:rsidRPr="00AF108F">
              <w:rPr>
                <w:rFonts w:cs="Calibri"/>
              </w:rPr>
              <w:t>).</w:t>
            </w:r>
          </w:p>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KS1 – lower range of vocabulary</w:t>
            </w:r>
            <w:r>
              <w:rPr>
                <w:rFonts w:cs="Calibri"/>
              </w:rPr>
              <w:t>,</w:t>
            </w:r>
            <w:r w:rsidRPr="00AF108F">
              <w:rPr>
                <w:rFonts w:cs="Calibri"/>
              </w:rPr>
              <w:t xml:space="preserve"> less frequent daily individual reading at home; weaker inference skills; reading common exception words; application of phonics to </w:t>
            </w:r>
            <w:r>
              <w:rPr>
                <w:rFonts w:cs="Calibri"/>
              </w:rPr>
              <w:t>read fluen</w:t>
            </w:r>
            <w:r w:rsidR="008464DA">
              <w:rPr>
                <w:rFonts w:cs="Calibri"/>
              </w:rPr>
              <w:t>tly (evidenced in teacher assessments</w:t>
            </w:r>
            <w:r>
              <w:rPr>
                <w:rFonts w:cs="Calibri"/>
              </w:rPr>
              <w:t xml:space="preserve">) </w:t>
            </w:r>
          </w:p>
          <w:p w:rsidR="00E66558" w:rsidRDefault="000F3603" w:rsidP="000F3603">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sidRPr="00AF108F">
              <w:rPr>
                <w:rFonts w:cs="Calibri"/>
              </w:rPr>
              <w:t>KS2 – lower range of vocabulary</w:t>
            </w:r>
            <w:r>
              <w:rPr>
                <w:rFonts w:cs="Calibri"/>
              </w:rPr>
              <w:t>,</w:t>
            </w:r>
            <w:r w:rsidRPr="00AF108F">
              <w:rPr>
                <w:rFonts w:cs="Calibri"/>
              </w:rPr>
              <w:t xml:space="preserve"> less frequent daily individual reading at hom</w:t>
            </w:r>
            <w:r w:rsidRPr="003351BA">
              <w:rPr>
                <w:rFonts w:cs="Calibri"/>
              </w:rPr>
              <w:t>e; inference skills, make comparison, summarise main ideas (evidenced in ASP QLA).</w:t>
            </w:r>
          </w:p>
        </w:tc>
      </w:tr>
      <w:tr w:rsidR="00E66558" w:rsidTr="003B0822">
        <w:tc>
          <w:tcPr>
            <w:cnfStyle w:val="001000000000" w:firstRow="0" w:lastRow="0" w:firstColumn="1" w:lastColumn="0" w:oddVBand="0" w:evenVBand="0" w:oddHBand="0" w:evenHBand="0" w:firstRowFirstColumn="0" w:firstRowLastColumn="0" w:lastRowFirstColumn="0" w:lastRowLastColumn="0"/>
            <w:tcW w:w="1418" w:type="dxa"/>
          </w:tcPr>
          <w:p w:rsidR="00E66558" w:rsidRDefault="009D71E8">
            <w:pPr>
              <w:pStyle w:val="TableRow"/>
              <w:rPr>
                <w:sz w:val="22"/>
                <w:szCs w:val="22"/>
              </w:rPr>
            </w:pPr>
            <w:r>
              <w:rPr>
                <w:sz w:val="22"/>
                <w:szCs w:val="22"/>
              </w:rPr>
              <w:t>3</w:t>
            </w:r>
          </w:p>
        </w:tc>
        <w:tc>
          <w:tcPr>
            <w:tcW w:w="8933" w:type="dxa"/>
          </w:tcPr>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Writing</w:t>
            </w:r>
            <w:r>
              <w:rPr>
                <w:rFonts w:cs="Calibri"/>
              </w:rPr>
              <w:t xml:space="preserve"> gaps in learning</w:t>
            </w:r>
            <w:r w:rsidRPr="00AF108F">
              <w:rPr>
                <w:rFonts w:cs="Calibri"/>
              </w:rPr>
              <w:t xml:space="preserve">: </w:t>
            </w:r>
          </w:p>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EYFS – lower range of vocabulary (evidenced on-entry data to school); greater difficulty applying phonics and writing sim</w:t>
            </w:r>
            <w:r>
              <w:rPr>
                <w:rFonts w:cs="Calibri"/>
              </w:rPr>
              <w:t>ple senten</w:t>
            </w:r>
            <w:r w:rsidR="008464DA">
              <w:rPr>
                <w:rFonts w:cs="Calibri"/>
              </w:rPr>
              <w:t>ces (evidenced on Tapestry</w:t>
            </w:r>
            <w:r w:rsidRPr="00AF108F">
              <w:rPr>
                <w:rFonts w:cs="Calibri"/>
              </w:rPr>
              <w:t>).</w:t>
            </w:r>
          </w:p>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 xml:space="preserve">KS1 – lower range of vocabulary; letter formation; </w:t>
            </w:r>
            <w:r>
              <w:rPr>
                <w:rFonts w:cs="Calibri"/>
              </w:rPr>
              <w:t>stamina for writing;(ev</w:t>
            </w:r>
            <w:r w:rsidR="008464DA">
              <w:rPr>
                <w:rFonts w:cs="Calibri"/>
              </w:rPr>
              <w:t>idenced in teacher assessments</w:t>
            </w:r>
            <w:r w:rsidRPr="00AF108F">
              <w:rPr>
                <w:rFonts w:cs="Calibri"/>
              </w:rPr>
              <w:t>).</w:t>
            </w:r>
          </w:p>
          <w:p w:rsidR="00E66558" w:rsidRDefault="000F3603" w:rsidP="000F3603">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sidRPr="00AF108F">
              <w:rPr>
                <w:rFonts w:cs="Calibri"/>
              </w:rPr>
              <w:t>KS2 –</w:t>
            </w:r>
            <w:r>
              <w:rPr>
                <w:rFonts w:cs="Calibri"/>
              </w:rPr>
              <w:t xml:space="preserve"> </w:t>
            </w:r>
            <w:r w:rsidRPr="00730D0C">
              <w:rPr>
                <w:rFonts w:cs="Calibri"/>
              </w:rPr>
              <w:t>grammar knowledge in own writi</w:t>
            </w:r>
            <w:r w:rsidR="00537ACB">
              <w:rPr>
                <w:rFonts w:cs="Calibri"/>
              </w:rPr>
              <w:t>ng; (evidenced in teacher assessments</w:t>
            </w:r>
            <w:r w:rsidRPr="00730D0C">
              <w:rPr>
                <w:rFonts w:cs="Calibri"/>
              </w:rPr>
              <w:t xml:space="preserve">). Vocabulary, </w:t>
            </w:r>
            <w:r w:rsidRPr="00BA3883">
              <w:rPr>
                <w:rFonts w:cs="Calibri"/>
              </w:rPr>
              <w:t>combining</w:t>
            </w:r>
            <w:r w:rsidRPr="00730D0C">
              <w:rPr>
                <w:rFonts w:cs="Calibri"/>
              </w:rPr>
              <w:t xml:space="preserve"> words, phrases and clauses, verb forms – tense and consistency, grammatical terms and word classes, punctuation, standard English and formality (evidenced in ASP QLA).</w:t>
            </w:r>
          </w:p>
        </w:tc>
      </w:tr>
      <w:tr w:rsidR="00E66558" w:rsidTr="003B0822">
        <w:tc>
          <w:tcPr>
            <w:cnfStyle w:val="001000000000" w:firstRow="0" w:lastRow="0" w:firstColumn="1" w:lastColumn="0" w:oddVBand="0" w:evenVBand="0" w:oddHBand="0" w:evenHBand="0" w:firstRowFirstColumn="0" w:firstRowLastColumn="0" w:lastRowFirstColumn="0" w:lastRowLastColumn="0"/>
            <w:tcW w:w="1418" w:type="dxa"/>
          </w:tcPr>
          <w:p w:rsidR="00E66558" w:rsidRDefault="009D71E8">
            <w:pPr>
              <w:pStyle w:val="TableRow"/>
              <w:rPr>
                <w:sz w:val="22"/>
                <w:szCs w:val="22"/>
              </w:rPr>
            </w:pPr>
            <w:r>
              <w:rPr>
                <w:sz w:val="22"/>
                <w:szCs w:val="22"/>
              </w:rPr>
              <w:t>4</w:t>
            </w:r>
          </w:p>
        </w:tc>
        <w:tc>
          <w:tcPr>
            <w:tcW w:w="8933" w:type="dxa"/>
          </w:tcPr>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Pr>
                <w:rFonts w:cs="Calibri"/>
              </w:rPr>
              <w:t>Maths gaps in learning</w:t>
            </w:r>
            <w:r w:rsidRPr="00AF108F">
              <w:rPr>
                <w:rFonts w:cs="Calibri"/>
              </w:rPr>
              <w:t>:</w:t>
            </w:r>
          </w:p>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EYFS – lower range of mathematical vocabulary (evidenced on-entry data to school); mathematical problem solving and reasoning skil</w:t>
            </w:r>
            <w:r>
              <w:rPr>
                <w:rFonts w:cs="Calibri"/>
              </w:rPr>
              <w:t>ls; recording (evidenced o</w:t>
            </w:r>
            <w:r w:rsidR="008464DA">
              <w:rPr>
                <w:rFonts w:cs="Calibri"/>
              </w:rPr>
              <w:t>n Tapestry</w:t>
            </w:r>
            <w:r w:rsidRPr="00AF108F">
              <w:rPr>
                <w:rFonts w:cs="Calibri"/>
              </w:rPr>
              <w:t>).</w:t>
            </w:r>
          </w:p>
          <w:p w:rsidR="000F3603" w:rsidRPr="00AF108F" w:rsidRDefault="000F3603" w:rsidP="000F3603">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KS1 – lower range of mathematical vocabulary; weaker place value, multiplication and addition and subtr</w:t>
            </w:r>
            <w:r>
              <w:rPr>
                <w:rFonts w:cs="Calibri"/>
              </w:rPr>
              <w:t>action ski</w:t>
            </w:r>
            <w:r w:rsidR="008464DA">
              <w:rPr>
                <w:rFonts w:cs="Calibri"/>
              </w:rPr>
              <w:t>lls (evidenced in teacher assessments</w:t>
            </w:r>
            <w:r w:rsidRPr="00AF108F">
              <w:rPr>
                <w:rFonts w:cs="Calibri"/>
              </w:rPr>
              <w:t>).</w:t>
            </w:r>
          </w:p>
          <w:p w:rsidR="00E66558" w:rsidRDefault="000F3603" w:rsidP="000F3603">
            <w:pPr>
              <w:pStyle w:val="TableRowCentered"/>
              <w:jc w:val="left"/>
              <w:cnfStyle w:val="000000000000" w:firstRow="0" w:lastRow="0" w:firstColumn="0" w:lastColumn="0" w:oddVBand="0" w:evenVBand="0" w:oddHBand="0" w:evenHBand="0" w:firstRowFirstColumn="0" w:firstRowLastColumn="0" w:lastRowFirstColumn="0" w:lastRowLastColumn="0"/>
              <w:rPr>
                <w:iCs/>
                <w:sz w:val="22"/>
              </w:rPr>
            </w:pPr>
            <w:r w:rsidRPr="00AF108F">
              <w:rPr>
                <w:rFonts w:cs="Calibri"/>
              </w:rPr>
              <w:t xml:space="preserve">KS2 – </w:t>
            </w:r>
            <w:r w:rsidRPr="003351BA">
              <w:rPr>
                <w:rFonts w:cs="Calibri"/>
              </w:rPr>
              <w:t>fractions, decimals and percentages, ratio and proportion, measurement (evidenced in ASP QLA).</w:t>
            </w:r>
          </w:p>
        </w:tc>
      </w:tr>
      <w:tr w:rsidR="00E66558" w:rsidTr="003B0822">
        <w:tc>
          <w:tcPr>
            <w:cnfStyle w:val="001000000000" w:firstRow="0" w:lastRow="0" w:firstColumn="1" w:lastColumn="0" w:oddVBand="0" w:evenVBand="0" w:oddHBand="0" w:evenHBand="0" w:firstRowFirstColumn="0" w:firstRowLastColumn="0" w:lastRowFirstColumn="0" w:lastRowLastColumn="0"/>
            <w:tcW w:w="1418" w:type="dxa"/>
          </w:tcPr>
          <w:p w:rsidR="00E66558" w:rsidRDefault="009D71E8">
            <w:pPr>
              <w:pStyle w:val="TableRow"/>
              <w:rPr>
                <w:sz w:val="22"/>
                <w:szCs w:val="22"/>
              </w:rPr>
            </w:pPr>
            <w:bookmarkStart w:id="16" w:name="_Toc443397160"/>
            <w:r>
              <w:rPr>
                <w:sz w:val="22"/>
                <w:szCs w:val="22"/>
              </w:rPr>
              <w:t>5</w:t>
            </w:r>
          </w:p>
        </w:tc>
        <w:tc>
          <w:tcPr>
            <w:tcW w:w="8933" w:type="dxa"/>
          </w:tcPr>
          <w:p w:rsidR="00E66558" w:rsidRPr="00583160" w:rsidRDefault="000F3603">
            <w:pPr>
              <w:pStyle w:val="TableRowCentered"/>
              <w:jc w:val="left"/>
              <w:cnfStyle w:val="000000000000" w:firstRow="0" w:lastRow="0" w:firstColumn="0" w:lastColumn="0" w:oddVBand="0" w:evenVBand="0" w:oddHBand="0" w:evenHBand="0" w:firstRowFirstColumn="0" w:firstRowLastColumn="0" w:lastRowFirstColumn="0" w:lastRowLastColumn="0"/>
              <w:rPr>
                <w:iCs/>
              </w:rPr>
            </w:pPr>
            <w:r w:rsidRPr="00F1314B">
              <w:rPr>
                <w:iCs/>
                <w:highlight w:val="yellow"/>
              </w:rPr>
              <w:t xml:space="preserve">Low </w:t>
            </w:r>
            <w:r w:rsidR="00DF3434" w:rsidRPr="00F1314B">
              <w:rPr>
                <w:iCs/>
                <w:highlight w:val="yellow"/>
              </w:rPr>
              <w:t xml:space="preserve">attendance and punctuality (2020-21 </w:t>
            </w:r>
            <w:r w:rsidRPr="00F1314B">
              <w:rPr>
                <w:iCs/>
                <w:highlight w:val="yellow"/>
              </w:rPr>
              <w:t xml:space="preserve"> All pupils</w:t>
            </w:r>
            <w:r w:rsidR="00DF3434" w:rsidRPr="00F1314B">
              <w:rPr>
                <w:iCs/>
                <w:highlight w:val="yellow"/>
              </w:rPr>
              <w:t xml:space="preserve">- 93.2% / </w:t>
            </w:r>
            <w:r w:rsidRPr="00F1314B">
              <w:rPr>
                <w:iCs/>
                <w:highlight w:val="yellow"/>
              </w:rPr>
              <w:t>PP pupils</w:t>
            </w:r>
            <w:r w:rsidR="00DF3434" w:rsidRPr="00F1314B">
              <w:rPr>
                <w:iCs/>
                <w:highlight w:val="yellow"/>
              </w:rPr>
              <w:t xml:space="preserve"> – 91.81% / Non PP pupils 93.73%</w:t>
            </w:r>
            <w:r w:rsidRPr="00F1314B">
              <w:rPr>
                <w:iCs/>
                <w:highlight w:val="yellow"/>
              </w:rPr>
              <w:t>)</w:t>
            </w:r>
          </w:p>
        </w:tc>
      </w:tr>
      <w:tr w:rsidR="000F3603" w:rsidTr="003B0822">
        <w:tc>
          <w:tcPr>
            <w:cnfStyle w:val="001000000000" w:firstRow="0" w:lastRow="0" w:firstColumn="1" w:lastColumn="0" w:oddVBand="0" w:evenVBand="0" w:oddHBand="0" w:evenHBand="0" w:firstRowFirstColumn="0" w:firstRowLastColumn="0" w:lastRowFirstColumn="0" w:lastRowLastColumn="0"/>
            <w:tcW w:w="1418" w:type="dxa"/>
          </w:tcPr>
          <w:p w:rsidR="000F3603" w:rsidRDefault="000F3603">
            <w:pPr>
              <w:pStyle w:val="TableRow"/>
              <w:rPr>
                <w:sz w:val="22"/>
                <w:szCs w:val="22"/>
              </w:rPr>
            </w:pPr>
            <w:r>
              <w:rPr>
                <w:sz w:val="22"/>
                <w:szCs w:val="22"/>
              </w:rPr>
              <w:t>6</w:t>
            </w:r>
          </w:p>
        </w:tc>
        <w:tc>
          <w:tcPr>
            <w:tcW w:w="8933" w:type="dxa"/>
          </w:tcPr>
          <w:p w:rsidR="000F3603" w:rsidRPr="000F3603" w:rsidRDefault="000F3603">
            <w:pPr>
              <w:pStyle w:val="TableRowCentered"/>
              <w:jc w:val="left"/>
              <w:cnfStyle w:val="000000000000" w:firstRow="0" w:lastRow="0" w:firstColumn="0" w:lastColumn="0" w:oddVBand="0" w:evenVBand="0" w:oddHBand="0" w:evenHBand="0" w:firstRowFirstColumn="0" w:firstRowLastColumn="0" w:lastRowFirstColumn="0" w:lastRowLastColumn="0"/>
              <w:rPr>
                <w:iCs/>
                <w:sz w:val="22"/>
              </w:rPr>
            </w:pPr>
            <w:r w:rsidRPr="00AF108F">
              <w:rPr>
                <w:rFonts w:cs="Calibri"/>
              </w:rPr>
              <w:t>Emotional well-being of pupils – security and attachment, impulse control, resilience and determination, school readiness, value placed on education (evidenced in observations</w:t>
            </w:r>
            <w:r>
              <w:rPr>
                <w:rFonts w:cs="Calibri"/>
              </w:rPr>
              <w:t>, FSW case load</w:t>
            </w:r>
            <w:r w:rsidRPr="00AF108F">
              <w:rPr>
                <w:rFonts w:cs="Calibri"/>
              </w:rPr>
              <w:t>).</w:t>
            </w:r>
          </w:p>
        </w:tc>
      </w:tr>
      <w:tr w:rsidR="000F3603" w:rsidTr="003B0822">
        <w:tc>
          <w:tcPr>
            <w:cnfStyle w:val="001000000000" w:firstRow="0" w:lastRow="0" w:firstColumn="1" w:lastColumn="0" w:oddVBand="0" w:evenVBand="0" w:oddHBand="0" w:evenHBand="0" w:firstRowFirstColumn="0" w:firstRowLastColumn="0" w:lastRowFirstColumn="0" w:lastRowLastColumn="0"/>
            <w:tcW w:w="1418" w:type="dxa"/>
          </w:tcPr>
          <w:p w:rsidR="000F3603" w:rsidRDefault="000F3603">
            <w:pPr>
              <w:pStyle w:val="TableRow"/>
              <w:rPr>
                <w:sz w:val="22"/>
                <w:szCs w:val="22"/>
              </w:rPr>
            </w:pPr>
            <w:r>
              <w:rPr>
                <w:sz w:val="22"/>
                <w:szCs w:val="22"/>
              </w:rPr>
              <w:t>7</w:t>
            </w:r>
          </w:p>
        </w:tc>
        <w:tc>
          <w:tcPr>
            <w:tcW w:w="8933" w:type="dxa"/>
          </w:tcPr>
          <w:p w:rsidR="000F3603" w:rsidRPr="00AF108F" w:rsidRDefault="000F3603">
            <w:pPr>
              <w:pStyle w:val="TableRowCentered"/>
              <w:jc w:val="left"/>
              <w:cnfStyle w:val="000000000000" w:firstRow="0" w:lastRow="0" w:firstColumn="0" w:lastColumn="0" w:oddVBand="0" w:evenVBand="0" w:oddHBand="0" w:evenHBand="0" w:firstRowFirstColumn="0" w:firstRowLastColumn="0" w:lastRowFirstColumn="0" w:lastRowLastColumn="0"/>
              <w:rPr>
                <w:rFonts w:cs="Calibri"/>
              </w:rPr>
            </w:pPr>
            <w:r w:rsidRPr="00AF108F">
              <w:rPr>
                <w:rFonts w:cs="Calibri"/>
              </w:rPr>
              <w:t>Narrower life experiences and lack of stimulus to use within their</w:t>
            </w:r>
            <w:r>
              <w:rPr>
                <w:rFonts w:cs="Calibri"/>
              </w:rPr>
              <w:t xml:space="preserve"> learning (</w:t>
            </w:r>
            <w:r w:rsidRPr="00AF108F">
              <w:rPr>
                <w:rFonts w:cs="Calibri"/>
              </w:rPr>
              <w:t>fewer memorable enriching experiences).</w:t>
            </w:r>
          </w:p>
        </w:tc>
      </w:tr>
      <w:tr w:rsidR="000F3603" w:rsidTr="003B0822">
        <w:tc>
          <w:tcPr>
            <w:cnfStyle w:val="001000000000" w:firstRow="0" w:lastRow="0" w:firstColumn="1" w:lastColumn="0" w:oddVBand="0" w:evenVBand="0" w:oddHBand="0" w:evenHBand="0" w:firstRowFirstColumn="0" w:firstRowLastColumn="0" w:lastRowFirstColumn="0" w:lastRowLastColumn="0"/>
            <w:tcW w:w="1418" w:type="dxa"/>
          </w:tcPr>
          <w:p w:rsidR="000F3603" w:rsidRDefault="000F3603">
            <w:pPr>
              <w:pStyle w:val="TableRow"/>
              <w:rPr>
                <w:sz w:val="22"/>
                <w:szCs w:val="22"/>
              </w:rPr>
            </w:pPr>
            <w:r>
              <w:rPr>
                <w:sz w:val="22"/>
                <w:szCs w:val="22"/>
              </w:rPr>
              <w:t>8</w:t>
            </w:r>
          </w:p>
        </w:tc>
        <w:tc>
          <w:tcPr>
            <w:tcW w:w="8933" w:type="dxa"/>
          </w:tcPr>
          <w:p w:rsidR="000F3603" w:rsidRPr="00AF108F" w:rsidRDefault="000F3603">
            <w:pPr>
              <w:pStyle w:val="TableRowCentered"/>
              <w:jc w:val="left"/>
              <w:cnfStyle w:val="000000000000" w:firstRow="0" w:lastRow="0" w:firstColumn="0" w:lastColumn="0" w:oddVBand="0" w:evenVBand="0" w:oddHBand="0" w:evenHBand="0" w:firstRowFirstColumn="0" w:firstRowLastColumn="0" w:lastRowFirstColumn="0" w:lastRowLastColumn="0"/>
              <w:rPr>
                <w:rFonts w:cs="Calibri"/>
              </w:rPr>
            </w:pPr>
            <w:r w:rsidRPr="00141078">
              <w:rPr>
                <w:rFonts w:cs="Arial"/>
              </w:rPr>
              <w:t>Ability to support and consolidate learning outside of sch</w:t>
            </w:r>
            <w:r>
              <w:rPr>
                <w:rFonts w:cs="Arial"/>
              </w:rPr>
              <w:t>ool (</w:t>
            </w:r>
            <w:r w:rsidRPr="00141078">
              <w:rPr>
                <w:rFonts w:cs="Arial"/>
              </w:rPr>
              <w:t>homework completion, frequency of reading).</w:t>
            </w:r>
          </w:p>
        </w:tc>
      </w:tr>
    </w:tbl>
    <w:p w:rsidR="00E66558" w:rsidRPr="001D59F4" w:rsidRDefault="009D71E8">
      <w:pPr>
        <w:pStyle w:val="Heading2"/>
        <w:spacing w:before="600"/>
        <w:rPr>
          <w:color w:val="FF0000"/>
        </w:rPr>
      </w:pPr>
      <w:r w:rsidRPr="001D59F4">
        <w:rPr>
          <w:color w:val="FF0000"/>
        </w:rP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Style w:val="GridTable1Light"/>
        <w:tblW w:w="5228" w:type="pct"/>
        <w:tblLook w:val="04A0" w:firstRow="1" w:lastRow="0" w:firstColumn="1" w:lastColumn="0" w:noHBand="0" w:noVBand="1"/>
      </w:tblPr>
      <w:tblGrid>
        <w:gridCol w:w="3681"/>
        <w:gridCol w:w="6238"/>
      </w:tblGrid>
      <w:tr w:rsidR="00E66558" w:rsidTr="006D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E66558" w:rsidRDefault="009D71E8">
            <w:pPr>
              <w:pStyle w:val="TableHeader"/>
              <w:jc w:val="left"/>
            </w:pPr>
            <w:r>
              <w:t>Intended outcome</w:t>
            </w:r>
          </w:p>
        </w:tc>
        <w:tc>
          <w:tcPr>
            <w:tcW w:w="6237"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Success criteria</w:t>
            </w:r>
          </w:p>
        </w:tc>
      </w:tr>
      <w:tr w:rsidR="00E66558" w:rsidTr="006D0A91">
        <w:tc>
          <w:tcPr>
            <w:cnfStyle w:val="001000000000" w:firstRow="0" w:lastRow="0" w:firstColumn="1" w:lastColumn="0" w:oddVBand="0" w:evenVBand="0" w:oddHBand="0" w:evenHBand="0" w:firstRowFirstColumn="0" w:firstRowLastColumn="0" w:lastRowFirstColumn="0" w:lastRowLastColumn="0"/>
            <w:tcW w:w="3681" w:type="dxa"/>
          </w:tcPr>
          <w:p w:rsidR="00E66558" w:rsidRDefault="008464DA">
            <w:pPr>
              <w:pStyle w:val="TableRow"/>
            </w:pPr>
            <w:r w:rsidRPr="00E27862">
              <w:rPr>
                <w:rFonts w:cs="Arial"/>
                <w:color w:val="auto"/>
              </w:rPr>
              <w:t>Improved oral language skills and vocabulary among disadvantaged pupils</w:t>
            </w:r>
            <w:r>
              <w:rPr>
                <w:rFonts w:cs="Arial"/>
                <w:color w:val="auto"/>
              </w:rPr>
              <w:t>.</w:t>
            </w:r>
          </w:p>
        </w:tc>
        <w:tc>
          <w:tcPr>
            <w:tcW w:w="6237" w:type="dxa"/>
          </w:tcPr>
          <w:p w:rsidR="00E66558" w:rsidRDefault="008464DA">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E66558" w:rsidTr="006D0A91">
        <w:tc>
          <w:tcPr>
            <w:cnfStyle w:val="001000000000" w:firstRow="0" w:lastRow="0" w:firstColumn="1" w:lastColumn="0" w:oddVBand="0" w:evenVBand="0" w:oddHBand="0" w:evenHBand="0" w:firstRowFirstColumn="0" w:firstRowLastColumn="0" w:lastRowFirstColumn="0" w:lastRowLastColumn="0"/>
            <w:tcW w:w="3681" w:type="dxa"/>
          </w:tcPr>
          <w:p w:rsidR="00E66558" w:rsidRDefault="008464DA">
            <w:pPr>
              <w:pStyle w:val="TableRow"/>
              <w:rPr>
                <w:sz w:val="22"/>
                <w:szCs w:val="22"/>
              </w:rPr>
            </w:pPr>
            <w:r w:rsidRPr="00E27862">
              <w:rPr>
                <w:rFonts w:cs="Arial"/>
                <w:color w:val="auto"/>
              </w:rPr>
              <w:t>Improved reading attainment among disadvantaged pupils.</w:t>
            </w:r>
          </w:p>
        </w:tc>
        <w:tc>
          <w:tcPr>
            <w:tcW w:w="6237" w:type="dxa"/>
          </w:tcPr>
          <w:p w:rsidR="00E66558" w:rsidRPr="00BE179B" w:rsidRDefault="008464DA">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sidRPr="00BE179B">
              <w:rPr>
                <w:rFonts w:cs="Arial"/>
                <w:color w:val="auto"/>
              </w:rPr>
              <w:t>KS2</w:t>
            </w:r>
            <w:r w:rsidRPr="00BE179B">
              <w:rPr>
                <w:rFonts w:cs="Arial"/>
                <w:color w:val="auto"/>
                <w:lang w:eastAsia="en-US"/>
              </w:rPr>
              <w:t xml:space="preserve"> reading outcomes in 2024/25 show that more than </w:t>
            </w:r>
            <w:r w:rsidR="00BE179B" w:rsidRPr="00BE179B">
              <w:rPr>
                <w:rFonts w:cs="Arial"/>
                <w:color w:val="auto"/>
                <w:lang w:eastAsia="en-US"/>
              </w:rPr>
              <w:t>85</w:t>
            </w:r>
            <w:r w:rsidRPr="00BE179B">
              <w:rPr>
                <w:rFonts w:cs="Arial"/>
                <w:color w:val="auto"/>
                <w:lang w:eastAsia="en-US"/>
              </w:rPr>
              <w:t>% of disadvantaged pupils met the expected standard.</w:t>
            </w:r>
          </w:p>
        </w:tc>
      </w:tr>
      <w:tr w:rsidR="00E66558" w:rsidTr="006D0A91">
        <w:tc>
          <w:tcPr>
            <w:cnfStyle w:val="001000000000" w:firstRow="0" w:lastRow="0" w:firstColumn="1" w:lastColumn="0" w:oddVBand="0" w:evenVBand="0" w:oddHBand="0" w:evenHBand="0" w:firstRowFirstColumn="0" w:firstRowLastColumn="0" w:lastRowFirstColumn="0" w:lastRowLastColumn="0"/>
            <w:tcW w:w="3681" w:type="dxa"/>
          </w:tcPr>
          <w:p w:rsidR="00E66558" w:rsidRDefault="008464DA">
            <w:pPr>
              <w:pStyle w:val="TableRow"/>
              <w:rPr>
                <w:sz w:val="22"/>
                <w:szCs w:val="22"/>
              </w:rPr>
            </w:pPr>
            <w:r>
              <w:rPr>
                <w:rFonts w:cs="Arial"/>
                <w:color w:val="auto"/>
              </w:rPr>
              <w:t>Improved writing</w:t>
            </w:r>
            <w:r w:rsidRPr="00E27862">
              <w:rPr>
                <w:rFonts w:cs="Arial"/>
                <w:color w:val="auto"/>
              </w:rPr>
              <w:t xml:space="preserve"> attainment among disadvantaged pupils.</w:t>
            </w:r>
          </w:p>
        </w:tc>
        <w:tc>
          <w:tcPr>
            <w:tcW w:w="6237" w:type="dxa"/>
          </w:tcPr>
          <w:p w:rsidR="00E66558" w:rsidRPr="00BE179B" w:rsidRDefault="008464DA">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sidRPr="00BE179B">
              <w:rPr>
                <w:rFonts w:cs="Arial"/>
                <w:color w:val="auto"/>
              </w:rPr>
              <w:t>KS2</w:t>
            </w:r>
            <w:r w:rsidRPr="00BE179B">
              <w:rPr>
                <w:rFonts w:cs="Arial"/>
                <w:color w:val="auto"/>
                <w:lang w:eastAsia="en-US"/>
              </w:rPr>
              <w:t xml:space="preserve"> writing outcomes in 2024/25 show that more than </w:t>
            </w:r>
            <w:r w:rsidR="00BE179B" w:rsidRPr="00BE179B">
              <w:rPr>
                <w:rFonts w:cs="Arial"/>
                <w:color w:val="auto"/>
                <w:lang w:eastAsia="en-US"/>
              </w:rPr>
              <w:t>85</w:t>
            </w:r>
            <w:r w:rsidRPr="00BE179B">
              <w:rPr>
                <w:rFonts w:cs="Arial"/>
                <w:color w:val="auto"/>
                <w:lang w:eastAsia="en-US"/>
              </w:rPr>
              <w:t>% of disadvantaged pupils met the expected standard.</w:t>
            </w:r>
          </w:p>
        </w:tc>
      </w:tr>
      <w:tr w:rsidR="00E66558" w:rsidTr="006D0A91">
        <w:tc>
          <w:tcPr>
            <w:cnfStyle w:val="001000000000" w:firstRow="0" w:lastRow="0" w:firstColumn="1" w:lastColumn="0" w:oddVBand="0" w:evenVBand="0" w:oddHBand="0" w:evenHBand="0" w:firstRowFirstColumn="0" w:firstRowLastColumn="0" w:lastRowFirstColumn="0" w:lastRowLastColumn="0"/>
            <w:tcW w:w="3681" w:type="dxa"/>
          </w:tcPr>
          <w:p w:rsidR="00E66558" w:rsidRDefault="008464DA">
            <w:pPr>
              <w:pStyle w:val="TableRow"/>
              <w:rPr>
                <w:sz w:val="22"/>
                <w:szCs w:val="22"/>
              </w:rPr>
            </w:pPr>
            <w:r w:rsidRPr="00E27862">
              <w:rPr>
                <w:rFonts w:cs="Arial"/>
                <w:color w:val="auto"/>
              </w:rPr>
              <w:t>Improved maths attainment for disadvantaged pupils at the end of KS2.</w:t>
            </w:r>
          </w:p>
        </w:tc>
        <w:tc>
          <w:tcPr>
            <w:tcW w:w="6237" w:type="dxa"/>
          </w:tcPr>
          <w:p w:rsidR="008464DA" w:rsidRPr="00BE179B" w:rsidRDefault="008464DA" w:rsidP="008464DA">
            <w:pPr>
              <w:pStyle w:val="TableRowCentered"/>
              <w:spacing w:after="120"/>
              <w:jc w:val="left"/>
              <w:cnfStyle w:val="000000000000" w:firstRow="0" w:lastRow="0" w:firstColumn="0" w:lastColumn="0" w:oddVBand="0" w:evenVBand="0" w:oddHBand="0" w:evenHBand="0" w:firstRowFirstColumn="0" w:firstRowLastColumn="0" w:lastRowFirstColumn="0" w:lastRowLastColumn="0"/>
              <w:rPr>
                <w:rFonts w:cs="Arial"/>
                <w:color w:val="auto"/>
                <w:szCs w:val="24"/>
                <w:lang w:eastAsia="en-US"/>
              </w:rPr>
            </w:pPr>
            <w:r w:rsidRPr="00BE179B">
              <w:rPr>
                <w:rFonts w:cs="Arial"/>
                <w:color w:val="auto"/>
              </w:rPr>
              <w:t>KS2</w:t>
            </w:r>
            <w:r w:rsidRPr="00BE179B">
              <w:rPr>
                <w:rFonts w:cs="Arial"/>
                <w:color w:val="auto"/>
                <w:szCs w:val="24"/>
                <w:lang w:eastAsia="en-US"/>
              </w:rPr>
              <w:t xml:space="preserve"> maths outcomes in 2024/25 show that </w:t>
            </w:r>
            <w:r w:rsidRPr="00BE179B">
              <w:rPr>
                <w:rStyle w:val="CommentReference"/>
                <w:color w:val="auto"/>
              </w:rPr>
              <w:t xml:space="preserve">more than </w:t>
            </w:r>
            <w:r w:rsidR="00BE179B" w:rsidRPr="00BE179B">
              <w:rPr>
                <w:rStyle w:val="CommentReference"/>
                <w:color w:val="auto"/>
              </w:rPr>
              <w:t>85</w:t>
            </w:r>
            <w:r w:rsidRPr="00BE179B">
              <w:rPr>
                <w:rStyle w:val="CommentReference"/>
                <w:color w:val="auto"/>
              </w:rPr>
              <w:t>% of disadvantaged pupils met the expected standard.</w:t>
            </w:r>
          </w:p>
          <w:p w:rsidR="00E66558" w:rsidRPr="00BE179B" w:rsidRDefault="00E66558">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p>
        </w:tc>
      </w:tr>
      <w:tr w:rsidR="008464DA" w:rsidTr="006D0A91">
        <w:tc>
          <w:tcPr>
            <w:cnfStyle w:val="001000000000" w:firstRow="0" w:lastRow="0" w:firstColumn="1" w:lastColumn="0" w:oddVBand="0" w:evenVBand="0" w:oddHBand="0" w:evenHBand="0" w:firstRowFirstColumn="0" w:firstRowLastColumn="0" w:lastRowFirstColumn="0" w:lastRowLastColumn="0"/>
            <w:tcW w:w="3681" w:type="dxa"/>
          </w:tcPr>
          <w:p w:rsidR="008464DA" w:rsidRPr="00E27862" w:rsidRDefault="008464DA">
            <w:pPr>
              <w:pStyle w:val="TableRow"/>
              <w:rPr>
                <w:rFonts w:cs="Arial"/>
                <w:color w:val="auto"/>
              </w:rPr>
            </w:pPr>
            <w:r w:rsidRPr="00E27862">
              <w:rPr>
                <w:rFonts w:cs="Arial"/>
                <w:color w:val="auto"/>
              </w:rPr>
              <w:t>To achieve and sustain improved attendance for all pupils, particularly our disadvantaged pupils.</w:t>
            </w:r>
          </w:p>
        </w:tc>
        <w:tc>
          <w:tcPr>
            <w:tcW w:w="6237" w:type="dxa"/>
          </w:tcPr>
          <w:p w:rsidR="008464DA" w:rsidRPr="00E27862" w:rsidRDefault="008464DA" w:rsidP="008464DA">
            <w:pPr>
              <w:suppressAutoHyphens w:val="0"/>
              <w:autoSpaceDN/>
              <w:spacing w:before="6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color w:val="auto"/>
              </w:rPr>
            </w:pPr>
            <w:r w:rsidRPr="00E27862">
              <w:rPr>
                <w:rFonts w:cs="Arial"/>
                <w:color w:val="auto"/>
              </w:rPr>
              <w:t>Sustained high attendance from 2024/25 demonstrated by:</w:t>
            </w:r>
          </w:p>
          <w:p w:rsidR="008464DA" w:rsidRPr="00BE179B" w:rsidRDefault="008464DA" w:rsidP="008464DA">
            <w:pPr>
              <w:pStyle w:val="ListParagraph"/>
              <w:numPr>
                <w:ilvl w:val="0"/>
                <w:numId w:val="14"/>
              </w:numPr>
              <w:suppressAutoHyphens w:val="0"/>
              <w:autoSpaceDN/>
              <w:spacing w:before="60" w:after="60" w:line="240" w:lineRule="auto"/>
              <w:ind w:right="57"/>
              <w:cnfStyle w:val="000000000000" w:firstRow="0" w:lastRow="0" w:firstColumn="0" w:lastColumn="0" w:oddVBand="0" w:evenVBand="0" w:oddHBand="0" w:evenHBand="0" w:firstRowFirstColumn="0" w:firstRowLastColumn="0" w:lastRowFirstColumn="0" w:lastRowLastColumn="0"/>
              <w:rPr>
                <w:rFonts w:cs="Arial"/>
                <w:color w:val="auto"/>
              </w:rPr>
            </w:pPr>
            <w:r w:rsidRPr="00BE179B">
              <w:rPr>
                <w:rFonts w:cs="Arial"/>
                <w:color w:val="auto"/>
              </w:rPr>
              <w:t>the overall absence rate for</w:t>
            </w:r>
            <w:r w:rsidR="00BE179B" w:rsidRPr="00BE179B">
              <w:rPr>
                <w:rFonts w:cs="Arial"/>
                <w:color w:val="auto"/>
              </w:rPr>
              <w:t xml:space="preserve"> all pupils being no more than 4</w:t>
            </w:r>
            <w:r w:rsidRPr="00BE179B">
              <w:rPr>
                <w:rFonts w:cs="Arial"/>
                <w:color w:val="auto"/>
              </w:rPr>
              <w:t xml:space="preserve">%, and the attendance gap between disadvantaged pupils and their non-disadvantaged peers being reduced </w:t>
            </w:r>
            <w:r w:rsidR="00BE179B" w:rsidRPr="00BE179B">
              <w:rPr>
                <w:rFonts w:cs="Arial"/>
                <w:color w:val="auto"/>
              </w:rPr>
              <w:t>so that there is no significant gap.</w:t>
            </w:r>
          </w:p>
          <w:p w:rsidR="008464DA" w:rsidRPr="00E27862" w:rsidRDefault="00BE179B" w:rsidP="00BE179B">
            <w:pPr>
              <w:pStyle w:val="TableRowCentered"/>
              <w:numPr>
                <w:ilvl w:val="0"/>
                <w:numId w:val="14"/>
              </w:numPr>
              <w:spacing w:after="120"/>
              <w:jc w:val="left"/>
              <w:cnfStyle w:val="000000000000" w:firstRow="0" w:lastRow="0" w:firstColumn="0" w:lastColumn="0" w:oddVBand="0" w:evenVBand="0" w:oddHBand="0" w:evenHBand="0" w:firstRowFirstColumn="0" w:firstRowLastColumn="0" w:lastRowFirstColumn="0" w:lastRowLastColumn="0"/>
              <w:rPr>
                <w:rFonts w:cs="Arial"/>
                <w:color w:val="auto"/>
              </w:rPr>
            </w:pPr>
            <w:r w:rsidRPr="00BE179B">
              <w:rPr>
                <w:rFonts w:cs="Arial"/>
                <w:color w:val="auto"/>
              </w:rPr>
              <w:t>t</w:t>
            </w:r>
            <w:r w:rsidR="008464DA" w:rsidRPr="00BE179B">
              <w:rPr>
                <w:rFonts w:cs="Arial"/>
                <w:color w:val="auto"/>
              </w:rPr>
              <w:t>he percentage of all pupils who are p</w:t>
            </w:r>
            <w:r w:rsidRPr="00BE179B">
              <w:rPr>
                <w:rFonts w:cs="Arial"/>
                <w:color w:val="auto"/>
              </w:rPr>
              <w:t>ersistently absent being below 7</w:t>
            </w:r>
            <w:r w:rsidR="008464DA" w:rsidRPr="00BE179B">
              <w:rPr>
                <w:rFonts w:cs="Arial"/>
                <w:color w:val="auto"/>
              </w:rPr>
              <w:t xml:space="preserve">% and the figure among disadvantaged pupils </w:t>
            </w:r>
            <w:r w:rsidRPr="00BE179B">
              <w:rPr>
                <w:rFonts w:cs="Arial"/>
                <w:color w:val="auto"/>
              </w:rPr>
              <w:t xml:space="preserve">has been narrowed so that there is no significant gap to non-disadvantaged pupils. </w:t>
            </w:r>
          </w:p>
        </w:tc>
      </w:tr>
      <w:tr w:rsidR="008464DA" w:rsidTr="006D0A91">
        <w:tc>
          <w:tcPr>
            <w:cnfStyle w:val="001000000000" w:firstRow="0" w:lastRow="0" w:firstColumn="1" w:lastColumn="0" w:oddVBand="0" w:evenVBand="0" w:oddHBand="0" w:evenHBand="0" w:firstRowFirstColumn="0" w:firstRowLastColumn="0" w:lastRowFirstColumn="0" w:lastRowLastColumn="0"/>
            <w:tcW w:w="3681" w:type="dxa"/>
          </w:tcPr>
          <w:p w:rsidR="008464DA" w:rsidRPr="00E27862" w:rsidRDefault="006D0A91">
            <w:pPr>
              <w:pStyle w:val="TableRow"/>
              <w:rPr>
                <w:rFonts w:cs="Arial"/>
                <w:color w:val="auto"/>
              </w:rPr>
            </w:pPr>
            <w:r w:rsidRPr="00E27862">
              <w:rPr>
                <w:rFonts w:cs="Arial"/>
                <w:color w:val="auto"/>
              </w:rPr>
              <w:t>To achieve and sustain improved wellbeing for all pupils in our school, particularly our disadvantaged pupils.</w:t>
            </w:r>
          </w:p>
        </w:tc>
        <w:tc>
          <w:tcPr>
            <w:tcW w:w="6237" w:type="dxa"/>
          </w:tcPr>
          <w:p w:rsidR="006D0A91" w:rsidRPr="00E27862" w:rsidRDefault="006D0A91" w:rsidP="006D0A91">
            <w:pPr>
              <w:suppressAutoHyphens w:val="0"/>
              <w:autoSpaceDN/>
              <w:spacing w:before="60" w:after="60" w:line="240" w:lineRule="auto"/>
              <w:ind w:left="34" w:right="57"/>
              <w:cnfStyle w:val="000000000000" w:firstRow="0" w:lastRow="0" w:firstColumn="0" w:lastColumn="0" w:oddVBand="0" w:evenVBand="0" w:oddHBand="0" w:evenHBand="0" w:firstRowFirstColumn="0" w:firstRowLastColumn="0" w:lastRowFirstColumn="0" w:lastRowLastColumn="0"/>
              <w:rPr>
                <w:rFonts w:cs="Arial"/>
                <w:color w:val="auto"/>
              </w:rPr>
            </w:pPr>
            <w:r w:rsidRPr="00E27862">
              <w:rPr>
                <w:rFonts w:cs="Arial"/>
                <w:color w:val="auto"/>
              </w:rPr>
              <w:t>Sustained high levels of wellbeing from 2024/25 demonstrated by:</w:t>
            </w:r>
          </w:p>
          <w:p w:rsidR="006D0A91" w:rsidRPr="00E27862" w:rsidRDefault="006D0A91" w:rsidP="006D0A91">
            <w:pPr>
              <w:pStyle w:val="ListParagraph"/>
              <w:numPr>
                <w:ilvl w:val="0"/>
                <w:numId w:val="15"/>
              </w:numPr>
              <w:suppressAutoHyphens w:val="0"/>
              <w:autoSpaceDN/>
              <w:spacing w:before="60" w:after="120" w:line="240" w:lineRule="auto"/>
              <w:ind w:right="57" w:hanging="357"/>
              <w:contextualSpacing w:val="0"/>
              <w:cnfStyle w:val="000000000000" w:firstRow="0" w:lastRow="0" w:firstColumn="0" w:lastColumn="0" w:oddVBand="0" w:evenVBand="0" w:oddHBand="0" w:evenHBand="0" w:firstRowFirstColumn="0" w:firstRowLastColumn="0" w:lastRowFirstColumn="0" w:lastRowLastColumn="0"/>
              <w:rPr>
                <w:rFonts w:cs="Arial"/>
                <w:color w:val="auto"/>
              </w:rPr>
            </w:pPr>
            <w:r w:rsidRPr="00E27862">
              <w:rPr>
                <w:rFonts w:cs="Arial"/>
                <w:color w:val="auto"/>
              </w:rPr>
              <w:t>qualitative data from student voice, student and</w:t>
            </w:r>
            <w:r w:rsidR="00917497">
              <w:rPr>
                <w:rFonts w:cs="Arial"/>
                <w:color w:val="auto"/>
              </w:rPr>
              <w:t xml:space="preserve">  </w:t>
            </w:r>
            <w:r w:rsidRPr="00E27862">
              <w:rPr>
                <w:rFonts w:cs="Arial"/>
                <w:color w:val="auto"/>
              </w:rPr>
              <w:t xml:space="preserve"> parent surveys and teacher observations</w:t>
            </w:r>
          </w:p>
          <w:p w:rsidR="006D0A91" w:rsidRDefault="006D0A91" w:rsidP="006D0A91">
            <w:pPr>
              <w:pStyle w:val="ListParagraph"/>
              <w:numPr>
                <w:ilvl w:val="0"/>
                <w:numId w:val="15"/>
              </w:numPr>
              <w:suppressAutoHyphens w:val="0"/>
              <w:autoSpaceDN/>
              <w:spacing w:before="60" w:after="120" w:line="240" w:lineRule="auto"/>
              <w:ind w:right="57" w:hanging="357"/>
              <w:contextualSpacing w:val="0"/>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a</w:t>
            </w:r>
            <w:r w:rsidRPr="00E27862">
              <w:rPr>
                <w:rFonts w:cs="Arial"/>
                <w:color w:val="auto"/>
              </w:rPr>
              <w:t xml:space="preserve"> reduction in</w:t>
            </w:r>
            <w:r>
              <w:rPr>
                <w:rFonts w:cs="Arial"/>
                <w:color w:val="auto"/>
              </w:rPr>
              <w:t xml:space="preserve"> FSW caseload</w:t>
            </w:r>
          </w:p>
          <w:p w:rsidR="008464DA" w:rsidRPr="006D0A91" w:rsidRDefault="006D0A91" w:rsidP="006D0A91">
            <w:pPr>
              <w:pStyle w:val="ListParagraph"/>
              <w:numPr>
                <w:ilvl w:val="0"/>
                <w:numId w:val="15"/>
              </w:numPr>
              <w:suppressAutoHyphens w:val="0"/>
              <w:autoSpaceDN/>
              <w:spacing w:before="60" w:after="120" w:line="240" w:lineRule="auto"/>
              <w:ind w:right="57" w:hanging="357"/>
              <w:contextualSpacing w:val="0"/>
              <w:cnfStyle w:val="000000000000" w:firstRow="0" w:lastRow="0" w:firstColumn="0" w:lastColumn="0" w:oddVBand="0" w:evenVBand="0" w:oddHBand="0" w:evenHBand="0" w:firstRowFirstColumn="0" w:firstRowLastColumn="0" w:lastRowFirstColumn="0" w:lastRowLastColumn="0"/>
              <w:rPr>
                <w:rFonts w:cs="Arial"/>
                <w:color w:val="auto"/>
              </w:rPr>
            </w:pPr>
            <w:r w:rsidRPr="006D0A91">
              <w:rPr>
                <w:rFonts w:cs="Arial"/>
                <w:color w:val="auto"/>
              </w:rPr>
              <w:t xml:space="preserve">a significant increase in participation in enrichment activities, particularly among disadvantaged pupils    </w:t>
            </w:r>
          </w:p>
        </w:tc>
      </w:tr>
      <w:tr w:rsidR="007062F4" w:rsidTr="006D0A91">
        <w:tc>
          <w:tcPr>
            <w:cnfStyle w:val="001000000000" w:firstRow="0" w:lastRow="0" w:firstColumn="1" w:lastColumn="0" w:oddVBand="0" w:evenVBand="0" w:oddHBand="0" w:evenHBand="0" w:firstRowFirstColumn="0" w:firstRowLastColumn="0" w:lastRowFirstColumn="0" w:lastRowLastColumn="0"/>
            <w:tcW w:w="3681" w:type="dxa"/>
          </w:tcPr>
          <w:p w:rsidR="007062F4" w:rsidRDefault="00765EF3">
            <w:pPr>
              <w:pStyle w:val="TableRow"/>
              <w:rPr>
                <w:rFonts w:cs="Arial"/>
                <w:color w:val="auto"/>
              </w:rPr>
            </w:pPr>
            <w:r>
              <w:rPr>
                <w:rFonts w:cs="Arial"/>
                <w:color w:val="auto"/>
              </w:rPr>
              <w:t xml:space="preserve">Recovery: </w:t>
            </w:r>
          </w:p>
          <w:p w:rsidR="00765EF3" w:rsidRPr="00E27862" w:rsidRDefault="00765EF3">
            <w:pPr>
              <w:pStyle w:val="TableRow"/>
              <w:rPr>
                <w:rFonts w:cs="Arial"/>
                <w:color w:val="auto"/>
              </w:rPr>
            </w:pPr>
            <w:r>
              <w:rPr>
                <w:rFonts w:cs="Arial"/>
                <w:color w:val="auto"/>
              </w:rPr>
              <w:t xml:space="preserve">To plug any gaps in pupils learning, that are evident due to the pandemic. </w:t>
            </w:r>
          </w:p>
        </w:tc>
        <w:tc>
          <w:tcPr>
            <w:tcW w:w="6237" w:type="dxa"/>
          </w:tcPr>
          <w:p w:rsidR="007062F4" w:rsidRPr="00765EF3" w:rsidRDefault="00765EF3" w:rsidP="00765EF3">
            <w:pPr>
              <w:pStyle w:val="ListParagraph"/>
              <w:numPr>
                <w:ilvl w:val="0"/>
                <w:numId w:val="16"/>
              </w:numPr>
              <w:suppressAutoHyphens w:val="0"/>
              <w:autoSpaceDN/>
              <w:spacing w:before="60" w:after="60" w:line="240" w:lineRule="auto"/>
              <w:ind w:right="57"/>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Book scrutiny, pupil voice and mini- assessments show that gaps in children’s knowledge and understanding have been plugged. </w:t>
            </w:r>
          </w:p>
        </w:tc>
      </w:tr>
    </w:tbl>
    <w:p w:rsidR="00120AB1" w:rsidRDefault="00120AB1">
      <w:pPr>
        <w:suppressAutoHyphens w:val="0"/>
        <w:spacing w:after="0" w:line="240" w:lineRule="auto"/>
        <w:rPr>
          <w:b/>
          <w:color w:val="104F75"/>
          <w:sz w:val="32"/>
          <w:szCs w:val="32"/>
        </w:rPr>
      </w:pPr>
      <w:r>
        <w:br w:type="page"/>
      </w:r>
    </w:p>
    <w:p w:rsidR="00E66558" w:rsidRPr="001D59F4" w:rsidRDefault="009D71E8">
      <w:pPr>
        <w:pStyle w:val="Heading2"/>
        <w:rPr>
          <w:color w:val="FF0000"/>
        </w:rPr>
      </w:pPr>
      <w:r w:rsidRPr="001D59F4">
        <w:rPr>
          <w:color w:val="FF0000"/>
        </w:rPr>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Pr="001D59F4" w:rsidRDefault="009D71E8">
      <w:pPr>
        <w:pStyle w:val="Heading3"/>
        <w:rPr>
          <w:color w:val="FF0000"/>
        </w:rPr>
      </w:pPr>
      <w:r w:rsidRPr="001D59F4">
        <w:rPr>
          <w:color w:val="FF0000"/>
        </w:rPr>
        <w:t>Teaching (for example, CPD, recruitment and retention)</w:t>
      </w:r>
    </w:p>
    <w:p w:rsidR="00E66558" w:rsidRDefault="009D71E8">
      <w:r>
        <w:t xml:space="preserve">Budgeted cost: £ </w:t>
      </w:r>
      <w:r w:rsidR="00C7783E" w:rsidRPr="00F1314B">
        <w:rPr>
          <w:highlight w:val="yellow"/>
        </w:rPr>
        <w:t>8,000</w:t>
      </w:r>
    </w:p>
    <w:tbl>
      <w:tblPr>
        <w:tblStyle w:val="GridTable1Light"/>
        <w:tblW w:w="5306" w:type="pct"/>
        <w:tblInd w:w="-147" w:type="dxa"/>
        <w:tblLook w:val="04A0" w:firstRow="1" w:lastRow="0" w:firstColumn="1" w:lastColumn="0" w:noHBand="0" w:noVBand="1"/>
      </w:tblPr>
      <w:tblGrid>
        <w:gridCol w:w="2694"/>
        <w:gridCol w:w="5813"/>
        <w:gridCol w:w="1560"/>
      </w:tblGrid>
      <w:tr w:rsidR="00E66558" w:rsidTr="00712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E66558" w:rsidRDefault="009D71E8">
            <w:pPr>
              <w:pStyle w:val="TableHeader"/>
              <w:jc w:val="left"/>
            </w:pPr>
            <w:r>
              <w:t>Activity</w:t>
            </w:r>
          </w:p>
        </w:tc>
        <w:tc>
          <w:tcPr>
            <w:tcW w:w="5813"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Evidence that supports this approach</w:t>
            </w:r>
          </w:p>
        </w:tc>
        <w:tc>
          <w:tcPr>
            <w:tcW w:w="1560"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Challenge number(s) addressed</w:t>
            </w:r>
          </w:p>
        </w:tc>
      </w:tr>
      <w:tr w:rsidR="00E66558" w:rsidTr="00712100">
        <w:tc>
          <w:tcPr>
            <w:cnfStyle w:val="001000000000" w:firstRow="0" w:lastRow="0" w:firstColumn="1" w:lastColumn="0" w:oddVBand="0" w:evenVBand="0" w:oddHBand="0" w:evenHBand="0" w:firstRowFirstColumn="0" w:firstRowLastColumn="0" w:lastRowFirstColumn="0" w:lastRowLastColumn="0"/>
            <w:tcW w:w="2694" w:type="dxa"/>
          </w:tcPr>
          <w:p w:rsidR="00E66558" w:rsidRDefault="00F1314B">
            <w:pPr>
              <w:pStyle w:val="TableRow"/>
              <w:rPr>
                <w:rFonts w:cs="Arial"/>
                <w:b w:val="0"/>
                <w:bCs w:val="0"/>
                <w:iCs/>
                <w:color w:val="auto"/>
                <w:sz w:val="22"/>
              </w:rPr>
            </w:pPr>
            <w:r>
              <w:rPr>
                <w:rFonts w:cs="Arial"/>
                <w:iCs/>
                <w:color w:val="auto"/>
                <w:sz w:val="22"/>
              </w:rPr>
              <w:t>To continue to p</w:t>
            </w:r>
            <w:r w:rsidR="00D911DB" w:rsidRPr="007E645E">
              <w:rPr>
                <w:rFonts w:cs="Arial"/>
                <w:iCs/>
                <w:color w:val="auto"/>
                <w:sz w:val="22"/>
              </w:rPr>
              <w:t xml:space="preserve">urchase </w:t>
            </w:r>
            <w:r>
              <w:rPr>
                <w:rFonts w:cs="Arial"/>
                <w:iCs/>
                <w:color w:val="auto"/>
                <w:sz w:val="22"/>
              </w:rPr>
              <w:t>resources for the</w:t>
            </w:r>
            <w:r w:rsidR="00D911DB" w:rsidRPr="007E645E">
              <w:rPr>
                <w:rFonts w:cs="Arial"/>
                <w:iCs/>
                <w:color w:val="auto"/>
                <w:sz w:val="22"/>
              </w:rPr>
              <w:t xml:space="preserve"> </w:t>
            </w:r>
            <w:hyperlink r:id="rId8" w:history="1">
              <w:r w:rsidR="00D911DB" w:rsidRPr="007E645E">
                <w:rPr>
                  <w:rStyle w:val="Hyperlink"/>
                  <w:rFonts w:cs="Arial"/>
                  <w:iCs/>
                  <w:color w:val="0070C0"/>
                  <w:sz w:val="22"/>
                </w:rPr>
                <w:t>D</w:t>
              </w:r>
              <w:r w:rsidR="00D911DB" w:rsidRPr="007E645E">
                <w:rPr>
                  <w:rStyle w:val="Hyperlink"/>
                  <w:color w:val="0070C0"/>
                  <w:sz w:val="22"/>
                </w:rPr>
                <w:t xml:space="preserve">fE </w:t>
              </w:r>
              <w:r w:rsidR="00D911DB" w:rsidRPr="007E645E">
                <w:rPr>
                  <w:rStyle w:val="Hyperlink"/>
                  <w:rFonts w:cs="Arial"/>
                  <w:iCs/>
                  <w:color w:val="0070C0"/>
                  <w:sz w:val="22"/>
                </w:rPr>
                <w:t>validated Systematic Synthetic Phonics programme</w:t>
              </w:r>
            </w:hyperlink>
            <w:r w:rsidR="00D911DB" w:rsidRPr="007E645E">
              <w:rPr>
                <w:rFonts w:cs="Arial"/>
                <w:iCs/>
                <w:color w:val="auto"/>
                <w:sz w:val="22"/>
              </w:rPr>
              <w:t xml:space="preserve"> to secure stronger </w:t>
            </w:r>
            <w:r w:rsidR="0038399F">
              <w:rPr>
                <w:rFonts w:cs="Arial"/>
                <w:iCs/>
                <w:color w:val="auto"/>
                <w:sz w:val="22"/>
              </w:rPr>
              <w:t>phonics teaching for all pupils (including additional related books)</w:t>
            </w:r>
          </w:p>
          <w:p w:rsidR="00A26E32" w:rsidRPr="007E645E" w:rsidRDefault="00A26E32">
            <w:pPr>
              <w:pStyle w:val="TableRow"/>
              <w:rPr>
                <w:sz w:val="22"/>
              </w:rPr>
            </w:pPr>
            <w:r>
              <w:rPr>
                <w:sz w:val="22"/>
              </w:rPr>
              <w:t>£2.000</w:t>
            </w:r>
          </w:p>
        </w:tc>
        <w:tc>
          <w:tcPr>
            <w:tcW w:w="5813" w:type="dxa"/>
          </w:tcPr>
          <w:p w:rsidR="00D911DB" w:rsidRPr="007E645E" w:rsidRDefault="00D911DB" w:rsidP="00D911DB">
            <w:pPr>
              <w:pStyle w:val="TableRowCentered"/>
              <w:jc w:val="left"/>
              <w:cnfStyle w:val="000000000000" w:firstRow="0" w:lastRow="0" w:firstColumn="0" w:lastColumn="0" w:oddVBand="0" w:evenVBand="0" w:oddHBand="0" w:evenHBand="0" w:firstRowFirstColumn="0" w:firstRowLastColumn="0" w:lastRowFirstColumn="0" w:lastRowLastColumn="0"/>
              <w:rPr>
                <w:rFonts w:cs="Arial"/>
                <w:color w:val="auto"/>
                <w:sz w:val="22"/>
                <w:szCs w:val="24"/>
              </w:rPr>
            </w:pPr>
            <w:r w:rsidRPr="007E645E">
              <w:rPr>
                <w:rFonts w:cs="Arial"/>
                <w:color w:val="auto"/>
                <w:sz w:val="22"/>
                <w:szCs w:val="24"/>
              </w:rPr>
              <w:t xml:space="preserve">Phonics approaches have a strong evidence base that indicates a positive impact on the accuracy of word reading (though not necessarily comprehension), particularly for disadvantaged pupils: </w:t>
            </w:r>
          </w:p>
          <w:p w:rsidR="00E66558" w:rsidRDefault="00E3217C" w:rsidP="00D911DB">
            <w:pPr>
              <w:pStyle w:val="TableRowCentered"/>
              <w:jc w:val="left"/>
              <w:cnfStyle w:val="000000000000" w:firstRow="0" w:lastRow="0" w:firstColumn="0" w:lastColumn="0" w:oddVBand="0" w:evenVBand="0" w:oddHBand="0" w:evenHBand="0" w:firstRowFirstColumn="0" w:firstRowLastColumn="0" w:lastRowFirstColumn="0" w:lastRowLastColumn="0"/>
              <w:rPr>
                <w:color w:val="0070C0"/>
                <w:sz w:val="22"/>
                <w:szCs w:val="24"/>
                <w:u w:val="single"/>
              </w:rPr>
            </w:pPr>
            <w:hyperlink r:id="rId9" w:history="1">
              <w:r w:rsidR="00D911DB" w:rsidRPr="007E645E">
                <w:rPr>
                  <w:color w:val="0070C0"/>
                  <w:sz w:val="22"/>
                  <w:szCs w:val="24"/>
                  <w:u w:val="single"/>
                </w:rPr>
                <w:t>Phonics | Toolkit Strand | Education Endowment Foundation | EEF</w:t>
              </w:r>
            </w:hyperlink>
          </w:p>
          <w:p w:rsidR="0038399F" w:rsidRPr="0038399F" w:rsidRDefault="0038399F" w:rsidP="0038399F">
            <w:pPr>
              <w:pStyle w:val="TableRowCentered"/>
              <w:ind w:left="0"/>
              <w:jc w:val="left"/>
              <w:cnfStyle w:val="000000000000" w:firstRow="0" w:lastRow="0" w:firstColumn="0" w:lastColumn="0" w:oddVBand="0" w:evenVBand="0" w:oddHBand="0" w:evenHBand="0" w:firstRowFirstColumn="0" w:firstRowLastColumn="0" w:lastRowFirstColumn="0" w:lastRowLastColumn="0"/>
              <w:rPr>
                <w:b/>
                <w:sz w:val="22"/>
              </w:rPr>
            </w:pPr>
          </w:p>
        </w:tc>
        <w:tc>
          <w:tcPr>
            <w:tcW w:w="1560" w:type="dxa"/>
          </w:tcPr>
          <w:p w:rsidR="00E66558" w:rsidRDefault="00D911D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1, 2, 3</w:t>
            </w:r>
          </w:p>
        </w:tc>
      </w:tr>
      <w:tr w:rsidR="00E66558" w:rsidTr="00712100">
        <w:tc>
          <w:tcPr>
            <w:cnfStyle w:val="001000000000" w:firstRow="0" w:lastRow="0" w:firstColumn="1" w:lastColumn="0" w:oddVBand="0" w:evenVBand="0" w:oddHBand="0" w:evenHBand="0" w:firstRowFirstColumn="0" w:firstRowLastColumn="0" w:lastRowFirstColumn="0" w:lastRowLastColumn="0"/>
            <w:tcW w:w="2694" w:type="dxa"/>
          </w:tcPr>
          <w:p w:rsidR="00B15630" w:rsidRDefault="00B15630" w:rsidP="00A26E32">
            <w:pPr>
              <w:spacing w:before="60" w:after="120" w:line="240" w:lineRule="auto"/>
              <w:ind w:right="57"/>
              <w:rPr>
                <w:b w:val="0"/>
                <w:bCs w:val="0"/>
                <w:color w:val="auto"/>
                <w:sz w:val="22"/>
                <w:szCs w:val="22"/>
              </w:rPr>
            </w:pPr>
            <w:r w:rsidRPr="00B15630">
              <w:rPr>
                <w:color w:val="auto"/>
                <w:sz w:val="22"/>
                <w:szCs w:val="22"/>
              </w:rPr>
              <w:t>Enhancement of our maths teaching and curriculum planning in line with DfE and EEF guidance.</w:t>
            </w:r>
          </w:p>
          <w:p w:rsidR="00A26E32" w:rsidRDefault="00A26E32" w:rsidP="00A26E32">
            <w:pPr>
              <w:spacing w:before="60" w:after="120" w:line="240" w:lineRule="auto"/>
              <w:ind w:right="57"/>
              <w:rPr>
                <w:rFonts w:cs="Arial"/>
                <w:b w:val="0"/>
                <w:bCs w:val="0"/>
                <w:color w:val="auto"/>
                <w:sz w:val="22"/>
                <w:szCs w:val="22"/>
              </w:rPr>
            </w:pPr>
          </w:p>
          <w:p w:rsidR="00A26E32" w:rsidRPr="00A26E32" w:rsidRDefault="00A26E32" w:rsidP="00A26E32">
            <w:pPr>
              <w:spacing w:before="60" w:after="120" w:line="240" w:lineRule="auto"/>
              <w:ind w:right="57"/>
              <w:rPr>
                <w:rFonts w:cs="Arial"/>
                <w:b w:val="0"/>
                <w:bCs w:val="0"/>
                <w:color w:val="auto"/>
                <w:sz w:val="22"/>
                <w:szCs w:val="22"/>
              </w:rPr>
            </w:pPr>
            <w:r>
              <w:rPr>
                <w:rFonts w:cs="Arial"/>
                <w:color w:val="auto"/>
                <w:sz w:val="22"/>
                <w:szCs w:val="22"/>
              </w:rPr>
              <w:t>White Rose materials &amp; access to online resources</w:t>
            </w:r>
          </w:p>
          <w:p w:rsidR="00B15630" w:rsidRPr="00712100" w:rsidRDefault="00A26E32">
            <w:pPr>
              <w:pStyle w:val="TableRow"/>
              <w:rPr>
                <w:sz w:val="22"/>
                <w:szCs w:val="22"/>
              </w:rPr>
            </w:pPr>
            <w:r>
              <w:rPr>
                <w:sz w:val="22"/>
                <w:szCs w:val="22"/>
              </w:rPr>
              <w:t>£4,000</w:t>
            </w:r>
          </w:p>
        </w:tc>
        <w:tc>
          <w:tcPr>
            <w:tcW w:w="5813" w:type="dxa"/>
          </w:tcPr>
          <w:p w:rsidR="00B15630" w:rsidRPr="00B15630" w:rsidRDefault="00B15630" w:rsidP="00B15630">
            <w:pPr>
              <w:suppressAutoHyphens w:val="0"/>
              <w:autoSpaceDN/>
              <w:spacing w:before="6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iCs/>
                <w:color w:val="auto"/>
                <w:sz w:val="22"/>
                <w:szCs w:val="22"/>
              </w:rPr>
            </w:pPr>
            <w:r w:rsidRPr="00B15630">
              <w:rPr>
                <w:rFonts w:cs="Arial"/>
                <w:iCs/>
                <w:color w:val="auto"/>
                <w:sz w:val="22"/>
                <w:szCs w:val="22"/>
              </w:rPr>
              <w:t xml:space="preserve">The DfE non-statutory guidance has been produced in conjunction with the National Centre for Excellence in the Teaching of Mathematics, drawing on evidence-based approaches: </w:t>
            </w:r>
          </w:p>
          <w:p w:rsidR="00B15630" w:rsidRPr="00B15630" w:rsidRDefault="00E3217C" w:rsidP="00B15630">
            <w:pPr>
              <w:suppressAutoHyphens w:val="0"/>
              <w:autoSpaceDN/>
              <w:spacing w:before="60" w:after="120" w:line="240" w:lineRule="auto"/>
              <w:ind w:left="57" w:right="57"/>
              <w:cnfStyle w:val="000000000000" w:firstRow="0" w:lastRow="0" w:firstColumn="0" w:lastColumn="0" w:oddVBand="0" w:evenVBand="0" w:oddHBand="0" w:evenHBand="0" w:firstRowFirstColumn="0" w:firstRowLastColumn="0" w:lastRowFirstColumn="0" w:lastRowLastColumn="0"/>
              <w:rPr>
                <w:rFonts w:cs="Arial"/>
                <w:iCs/>
                <w:color w:val="0070C0"/>
                <w:sz w:val="22"/>
                <w:szCs w:val="22"/>
              </w:rPr>
            </w:pPr>
            <w:hyperlink r:id="rId10" w:history="1">
              <w:r w:rsidR="00B15630" w:rsidRPr="00B15630">
                <w:rPr>
                  <w:color w:val="0070C0"/>
                  <w:sz w:val="22"/>
                  <w:szCs w:val="22"/>
                  <w:u w:val="single"/>
                </w:rPr>
                <w:t>Maths_guidance_KS_1_and_2.pdf (publishing.service.gov.uk)</w:t>
              </w:r>
            </w:hyperlink>
          </w:p>
          <w:p w:rsidR="00B15630" w:rsidRPr="00B15630" w:rsidRDefault="00B15630" w:rsidP="00B15630">
            <w:pPr>
              <w:suppressAutoHyphens w:val="0"/>
              <w:autoSpaceDN/>
              <w:spacing w:before="12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B15630">
              <w:rPr>
                <w:rFonts w:cs="Arial"/>
                <w:color w:val="auto"/>
                <w:sz w:val="22"/>
                <w:szCs w:val="22"/>
              </w:rPr>
              <w:t xml:space="preserve">The EEF guidance is based on a range of the best available evidence: </w:t>
            </w:r>
          </w:p>
          <w:p w:rsidR="00E66558" w:rsidRDefault="00E3217C" w:rsidP="00B15630">
            <w:pPr>
              <w:pStyle w:val="TableRowCentered"/>
              <w:jc w:val="left"/>
              <w:cnfStyle w:val="000000000000" w:firstRow="0" w:lastRow="0" w:firstColumn="0" w:lastColumn="0" w:oddVBand="0" w:evenVBand="0" w:oddHBand="0" w:evenHBand="0" w:firstRowFirstColumn="0" w:firstRowLastColumn="0" w:lastRowFirstColumn="0" w:lastRowLastColumn="0"/>
              <w:rPr>
                <w:rFonts w:cs="Arial"/>
                <w:color w:val="0070C0"/>
                <w:sz w:val="22"/>
                <w:szCs w:val="22"/>
                <w:u w:val="single"/>
              </w:rPr>
            </w:pPr>
            <w:hyperlink r:id="rId11" w:history="1">
              <w:r w:rsidR="00B15630" w:rsidRPr="00712100">
                <w:rPr>
                  <w:rFonts w:cs="Arial"/>
                  <w:color w:val="0070C0"/>
                  <w:sz w:val="22"/>
                  <w:szCs w:val="22"/>
                  <w:u w:val="single"/>
                </w:rPr>
                <w:t>Improving Mathematics in Key Stages 2 and 3</w:t>
              </w:r>
            </w:hyperlink>
          </w:p>
          <w:p w:rsidR="0038399F" w:rsidRPr="0038399F" w:rsidRDefault="0038399F" w:rsidP="00711705">
            <w:pPr>
              <w:pStyle w:val="TableRowCentered"/>
              <w:ind w:left="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tcPr>
          <w:p w:rsidR="00E66558" w:rsidRDefault="00B15630">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4</w:t>
            </w:r>
          </w:p>
        </w:tc>
      </w:tr>
      <w:tr w:rsidR="00B15630" w:rsidTr="00712100">
        <w:tc>
          <w:tcPr>
            <w:cnfStyle w:val="001000000000" w:firstRow="0" w:lastRow="0" w:firstColumn="1" w:lastColumn="0" w:oddVBand="0" w:evenVBand="0" w:oddHBand="0" w:evenHBand="0" w:firstRowFirstColumn="0" w:firstRowLastColumn="0" w:lastRowFirstColumn="0" w:lastRowLastColumn="0"/>
            <w:tcW w:w="2694" w:type="dxa"/>
          </w:tcPr>
          <w:p w:rsidR="00B15630" w:rsidRDefault="00BE179B" w:rsidP="00653874">
            <w:pPr>
              <w:pStyle w:val="TableRow"/>
              <w:rPr>
                <w:b w:val="0"/>
                <w:bCs w:val="0"/>
                <w:sz w:val="22"/>
              </w:rPr>
            </w:pPr>
            <w:r>
              <w:rPr>
                <w:sz w:val="22"/>
              </w:rPr>
              <w:t>The purchase of a scheme of work in</w:t>
            </w:r>
            <w:r w:rsidR="00E3217C">
              <w:rPr>
                <w:sz w:val="22"/>
              </w:rPr>
              <w:t xml:space="preserve"> Grammar, Punctuation and Spelling</w:t>
            </w:r>
            <w:r>
              <w:rPr>
                <w:sz w:val="22"/>
              </w:rPr>
              <w:t xml:space="preserve"> to support the </w:t>
            </w:r>
            <w:r w:rsidR="00E3217C">
              <w:rPr>
                <w:sz w:val="22"/>
              </w:rPr>
              <w:t xml:space="preserve">progression of GPAS through school </w:t>
            </w:r>
            <w:r>
              <w:rPr>
                <w:sz w:val="22"/>
              </w:rPr>
              <w:t xml:space="preserve">and </w:t>
            </w:r>
            <w:r w:rsidR="00E3217C">
              <w:rPr>
                <w:sz w:val="22"/>
              </w:rPr>
              <w:t xml:space="preserve">to support </w:t>
            </w:r>
            <w:r>
              <w:rPr>
                <w:sz w:val="22"/>
              </w:rPr>
              <w:t xml:space="preserve">teacher knowledge. </w:t>
            </w:r>
          </w:p>
          <w:p w:rsidR="00E3217C" w:rsidRDefault="00E3217C" w:rsidP="00653874">
            <w:pPr>
              <w:pStyle w:val="TableRow"/>
              <w:rPr>
                <w:b w:val="0"/>
                <w:bCs w:val="0"/>
                <w:sz w:val="22"/>
              </w:rPr>
            </w:pPr>
            <w:r>
              <w:rPr>
                <w:sz w:val="22"/>
              </w:rPr>
              <w:t>Skills builder</w:t>
            </w:r>
          </w:p>
          <w:p w:rsidR="00E3217C" w:rsidRDefault="00E3217C" w:rsidP="00653874">
            <w:pPr>
              <w:pStyle w:val="TableRow"/>
              <w:rPr>
                <w:sz w:val="22"/>
              </w:rPr>
            </w:pPr>
            <w:r>
              <w:rPr>
                <w:sz w:val="22"/>
              </w:rPr>
              <w:t>£1,066</w:t>
            </w:r>
            <w:bookmarkStart w:id="17" w:name="_GoBack"/>
            <w:bookmarkEnd w:id="17"/>
          </w:p>
        </w:tc>
        <w:tc>
          <w:tcPr>
            <w:tcW w:w="5813" w:type="dxa"/>
          </w:tcPr>
          <w:p w:rsidR="00E05E57" w:rsidRPr="00C62D6A" w:rsidRDefault="00E05E57" w:rsidP="00C62D6A">
            <w:pPr>
              <w:suppressAutoHyphens w:val="0"/>
              <w:autoSpaceDN/>
              <w:spacing w:before="6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iCs/>
                <w:color w:val="auto"/>
                <w:sz w:val="22"/>
                <w:szCs w:val="22"/>
              </w:rPr>
            </w:pPr>
            <w:r w:rsidRPr="00C62D6A">
              <w:rPr>
                <w:rFonts w:cs="Arial"/>
                <w:iCs/>
                <w:color w:val="auto"/>
                <w:sz w:val="22"/>
                <w:szCs w:val="22"/>
              </w:rPr>
              <w:t xml:space="preserve">Ofsted are clear that a well-constructed and sequential curriculum, that has well considered building blocks of progress is an element of effective history teaching in outstanding primary schools. </w:t>
            </w:r>
          </w:p>
          <w:p w:rsidR="00E05E57" w:rsidRPr="00C62D6A" w:rsidRDefault="00E3217C" w:rsidP="00C62D6A">
            <w:pPr>
              <w:suppressAutoHyphens w:val="0"/>
              <w:autoSpaceDN/>
              <w:spacing w:before="6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iCs/>
                <w:color w:val="auto"/>
                <w:sz w:val="22"/>
                <w:szCs w:val="22"/>
              </w:rPr>
            </w:pPr>
            <w:hyperlink r:id="rId12" w:history="1">
              <w:r w:rsidR="00E05E57" w:rsidRPr="00C62D6A">
                <w:rPr>
                  <w:rStyle w:val="Hyperlink"/>
                  <w:rFonts w:cs="Arial"/>
                  <w:iCs/>
                  <w:sz w:val="22"/>
                  <w:szCs w:val="22"/>
                </w:rPr>
                <w:t>https://www.gov.uk/government/publications/research-review-series-history/research-review-series-history</w:t>
              </w:r>
            </w:hyperlink>
          </w:p>
          <w:p w:rsidR="007062F4" w:rsidRPr="00C62D6A" w:rsidRDefault="00E3217C" w:rsidP="00C62D6A">
            <w:pPr>
              <w:suppressAutoHyphens w:val="0"/>
              <w:autoSpaceDN/>
              <w:spacing w:before="6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iCs/>
                <w:color w:val="auto"/>
                <w:sz w:val="22"/>
                <w:szCs w:val="22"/>
              </w:rPr>
            </w:pPr>
            <w:hyperlink r:id="rId13" w:history="1">
              <w:r w:rsidR="00E05E57" w:rsidRPr="00C62D6A">
                <w:rPr>
                  <w:rStyle w:val="Hyperlink"/>
                  <w:rFonts w:cs="Arial"/>
                  <w:iCs/>
                  <w:sz w:val="22"/>
                  <w:szCs w:val="22"/>
                </w:rPr>
                <w:t>https://educationinspection.blog.gov.uk/2021/04/27/history-in-outstanding-primary-schools/</w:t>
              </w:r>
            </w:hyperlink>
            <w:r w:rsidR="007062F4" w:rsidRPr="00C62D6A">
              <w:rPr>
                <w:rFonts w:cs="Arial"/>
                <w:iCs/>
                <w:color w:val="auto"/>
                <w:sz w:val="22"/>
                <w:szCs w:val="22"/>
              </w:rPr>
              <w:t xml:space="preserve"> </w:t>
            </w:r>
          </w:p>
          <w:p w:rsidR="007062F4" w:rsidRPr="00C62D6A" w:rsidRDefault="007062F4" w:rsidP="00C62D6A">
            <w:pPr>
              <w:suppressAutoHyphens w:val="0"/>
              <w:autoSpaceDN/>
              <w:spacing w:before="6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iCs/>
                <w:color w:val="auto"/>
                <w:sz w:val="22"/>
                <w:szCs w:val="22"/>
              </w:rPr>
            </w:pPr>
            <w:r w:rsidRPr="00C62D6A">
              <w:rPr>
                <w:rFonts w:cs="Arial"/>
                <w:iCs/>
                <w:color w:val="auto"/>
                <w:sz w:val="22"/>
                <w:szCs w:val="22"/>
              </w:rPr>
              <w:t>Ofsted also state - A successful geography curriculum reflects teachers’ careful thinking and rationale behind what is taught, the sequencing of learning and the relationships between the forms of knowledge.</w:t>
            </w:r>
          </w:p>
          <w:p w:rsidR="007062F4" w:rsidRDefault="00E3217C" w:rsidP="00E05E57">
            <w:pPr>
              <w:suppressAutoHyphens w:val="0"/>
              <w:autoSpaceDN/>
              <w:spacing w:before="6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iCs/>
                <w:color w:val="auto"/>
              </w:rPr>
            </w:pPr>
            <w:hyperlink r:id="rId14" w:history="1">
              <w:r w:rsidR="007062F4" w:rsidRPr="00C62D6A">
                <w:rPr>
                  <w:rStyle w:val="Hyperlink"/>
                  <w:rFonts w:cs="Arial"/>
                  <w:iCs/>
                  <w:sz w:val="22"/>
                  <w:szCs w:val="22"/>
                </w:rPr>
                <w:t>https://www.gov.uk/government/news/ofsted-publishes-research-review-on-geography</w:t>
              </w:r>
            </w:hyperlink>
          </w:p>
          <w:p w:rsidR="007062F4" w:rsidRDefault="007062F4" w:rsidP="00E05E57">
            <w:pPr>
              <w:suppressAutoHyphens w:val="0"/>
              <w:autoSpaceDN/>
              <w:spacing w:before="60" w:after="60" w:line="240" w:lineRule="auto"/>
              <w:ind w:left="57" w:right="57"/>
              <w:cnfStyle w:val="000000000000" w:firstRow="0" w:lastRow="0" w:firstColumn="0" w:lastColumn="0" w:oddVBand="0" w:evenVBand="0" w:oddHBand="0" w:evenHBand="0" w:firstRowFirstColumn="0" w:firstRowLastColumn="0" w:lastRowFirstColumn="0" w:lastRowLastColumn="0"/>
              <w:rPr>
                <w:rFonts w:cs="Arial"/>
                <w:iCs/>
                <w:color w:val="auto"/>
              </w:rPr>
            </w:pPr>
          </w:p>
          <w:p w:rsidR="0038399F" w:rsidRPr="0038399F" w:rsidRDefault="0038399F" w:rsidP="00711705">
            <w:pPr>
              <w:suppressAutoHyphens w:val="0"/>
              <w:autoSpaceDN/>
              <w:spacing w:before="60" w:after="60" w:line="240" w:lineRule="auto"/>
              <w:ind w:right="57"/>
              <w:cnfStyle w:val="000000000000" w:firstRow="0" w:lastRow="0" w:firstColumn="0" w:lastColumn="0" w:oddVBand="0" w:evenVBand="0" w:oddHBand="0" w:evenHBand="0" w:firstRowFirstColumn="0" w:firstRowLastColumn="0" w:lastRowFirstColumn="0" w:lastRowLastColumn="0"/>
              <w:rPr>
                <w:rFonts w:cs="Arial"/>
                <w:b/>
                <w:iCs/>
                <w:color w:val="auto"/>
                <w:sz w:val="22"/>
                <w:szCs w:val="22"/>
                <w:u w:val="single"/>
              </w:rPr>
            </w:pPr>
          </w:p>
        </w:tc>
        <w:tc>
          <w:tcPr>
            <w:tcW w:w="1560" w:type="dxa"/>
          </w:tcPr>
          <w:p w:rsidR="00B15630" w:rsidRDefault="00C558E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7</w:t>
            </w:r>
          </w:p>
        </w:tc>
      </w:tr>
    </w:tbl>
    <w:p w:rsidR="00E66558" w:rsidRDefault="00E66558">
      <w:pPr>
        <w:keepNext/>
        <w:spacing w:after="60"/>
        <w:outlineLvl w:val="1"/>
      </w:pPr>
    </w:p>
    <w:p w:rsidR="00E66558" w:rsidRPr="001D59F4" w:rsidRDefault="009D71E8">
      <w:pPr>
        <w:rPr>
          <w:b/>
          <w:bCs/>
          <w:color w:val="FF0000"/>
          <w:sz w:val="28"/>
          <w:szCs w:val="28"/>
        </w:rPr>
      </w:pPr>
      <w:r w:rsidRPr="001D59F4">
        <w:rPr>
          <w:b/>
          <w:bCs/>
          <w:color w:val="FF0000"/>
          <w:sz w:val="28"/>
          <w:szCs w:val="28"/>
        </w:rPr>
        <w:t xml:space="preserve">Targeted academic support (for example, </w:t>
      </w:r>
      <w:r w:rsidR="00D33FE5" w:rsidRPr="001D59F4">
        <w:rPr>
          <w:b/>
          <w:bCs/>
          <w:color w:val="FF0000"/>
          <w:sz w:val="28"/>
          <w:szCs w:val="28"/>
        </w:rPr>
        <w:t xml:space="preserve">tutoring, one-to-one support </w:t>
      </w:r>
      <w:r w:rsidRPr="001D59F4">
        <w:rPr>
          <w:b/>
          <w:bCs/>
          <w:color w:val="FF0000"/>
          <w:sz w:val="28"/>
          <w:szCs w:val="28"/>
        </w:rPr>
        <w:t xml:space="preserve">structured interventions) </w:t>
      </w:r>
    </w:p>
    <w:p w:rsidR="00E66558" w:rsidRDefault="009D71E8">
      <w:r>
        <w:t xml:space="preserve">Budgeted cost: £ </w:t>
      </w:r>
      <w:r w:rsidR="00C7783E" w:rsidRPr="00C7783E">
        <w:t>121,921</w:t>
      </w:r>
    </w:p>
    <w:tbl>
      <w:tblPr>
        <w:tblStyle w:val="GridTable1Light"/>
        <w:tblW w:w="5306" w:type="pct"/>
        <w:tblInd w:w="-147" w:type="dxa"/>
        <w:tblLook w:val="04A0" w:firstRow="1" w:lastRow="0" w:firstColumn="1" w:lastColumn="0" w:noHBand="0" w:noVBand="1"/>
      </w:tblPr>
      <w:tblGrid>
        <w:gridCol w:w="2264"/>
        <w:gridCol w:w="6352"/>
        <w:gridCol w:w="1451"/>
      </w:tblGrid>
      <w:tr w:rsidR="00E66558" w:rsidTr="00712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E66558" w:rsidRDefault="009D71E8">
            <w:pPr>
              <w:pStyle w:val="TableHeader"/>
              <w:jc w:val="left"/>
            </w:pPr>
            <w:r>
              <w:t>Activity</w:t>
            </w:r>
          </w:p>
        </w:tc>
        <w:tc>
          <w:tcPr>
            <w:tcW w:w="6352"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Evidence that supports this approach</w:t>
            </w:r>
          </w:p>
        </w:tc>
        <w:tc>
          <w:tcPr>
            <w:tcW w:w="1451"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Challenge number(s) addressed</w:t>
            </w:r>
          </w:p>
        </w:tc>
      </w:tr>
      <w:tr w:rsidR="00E66558" w:rsidTr="00712100">
        <w:tc>
          <w:tcPr>
            <w:cnfStyle w:val="001000000000" w:firstRow="0" w:lastRow="0" w:firstColumn="1" w:lastColumn="0" w:oddVBand="0" w:evenVBand="0" w:oddHBand="0" w:evenHBand="0" w:firstRowFirstColumn="0" w:firstRowLastColumn="0" w:lastRowFirstColumn="0" w:lastRowLastColumn="0"/>
            <w:tcW w:w="2264" w:type="dxa"/>
          </w:tcPr>
          <w:p w:rsidR="00E66558" w:rsidRDefault="00930D4B">
            <w:pPr>
              <w:pStyle w:val="TableRow"/>
              <w:rPr>
                <w:sz w:val="22"/>
                <w:szCs w:val="22"/>
              </w:rPr>
            </w:pPr>
            <w:r w:rsidRPr="00AC7723">
              <w:rPr>
                <w:sz w:val="22"/>
                <w:szCs w:val="22"/>
              </w:rPr>
              <w:t>Speech and Language sessions (TA led)</w:t>
            </w:r>
          </w:p>
          <w:p w:rsidR="00930D4B" w:rsidRPr="00B15630" w:rsidRDefault="00930D4B" w:rsidP="00B15630">
            <w:pPr>
              <w:pStyle w:val="TableRow"/>
              <w:rPr>
                <w:sz w:val="22"/>
                <w:szCs w:val="22"/>
              </w:rPr>
            </w:pPr>
            <w:proofErr w:type="spellStart"/>
            <w:r>
              <w:rPr>
                <w:sz w:val="22"/>
                <w:szCs w:val="22"/>
              </w:rPr>
              <w:t>Welcomm</w:t>
            </w:r>
            <w:proofErr w:type="spellEnd"/>
            <w:r w:rsidR="00B15630">
              <w:rPr>
                <w:sz w:val="22"/>
                <w:szCs w:val="22"/>
              </w:rPr>
              <w:t>/</w:t>
            </w:r>
            <w:proofErr w:type="spellStart"/>
            <w:r>
              <w:rPr>
                <w:sz w:val="22"/>
                <w:szCs w:val="22"/>
              </w:rPr>
              <w:t>Nelli</w:t>
            </w:r>
            <w:proofErr w:type="spellEnd"/>
          </w:p>
        </w:tc>
        <w:tc>
          <w:tcPr>
            <w:tcW w:w="6352" w:type="dxa"/>
          </w:tcPr>
          <w:p w:rsidR="00E66558" w:rsidRDefault="00D911DB">
            <w:pPr>
              <w:pStyle w:val="TableRowCentered"/>
              <w:jc w:val="left"/>
              <w:cnfStyle w:val="000000000000" w:firstRow="0" w:lastRow="0" w:firstColumn="0" w:lastColumn="0" w:oddVBand="0" w:evenVBand="0" w:oddHBand="0" w:evenHBand="0" w:firstRowFirstColumn="0" w:firstRowLastColumn="0" w:lastRowFirstColumn="0" w:lastRowLastColumn="0"/>
              <w:rPr>
                <w:rFonts w:cs="Arial"/>
                <w:color w:val="auto"/>
                <w:sz w:val="22"/>
                <w:szCs w:val="30"/>
                <w:shd w:val="clear" w:color="auto" w:fill="FAFAFA"/>
              </w:rPr>
            </w:pPr>
            <w:r>
              <w:rPr>
                <w:sz w:val="22"/>
                <w:szCs w:val="22"/>
              </w:rPr>
              <w:t xml:space="preserve">EEF - </w:t>
            </w:r>
            <w:r w:rsidRPr="00D911DB">
              <w:rPr>
                <w:rFonts w:cs="Arial"/>
                <w:color w:val="auto"/>
                <w:sz w:val="22"/>
                <w:szCs w:val="30"/>
                <w:shd w:val="clear" w:color="auto" w:fill="FAFAFA"/>
              </w:rPr>
              <w:t>On average, oral language approaches have a high impact on pupil outcomes of 6 months’ additional progress.</w:t>
            </w:r>
          </w:p>
          <w:p w:rsidR="00D911DB" w:rsidRDefault="00E3217C">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hyperlink r:id="rId15" w:history="1">
              <w:r w:rsidR="001A56F8">
                <w:rPr>
                  <w:rStyle w:val="Hyperlink"/>
                  <w:sz w:val="22"/>
                </w:rPr>
                <w:t>EEF [Oral Language Interventions]</w:t>
              </w:r>
            </w:hyperlink>
            <w:r w:rsidR="00D911DB">
              <w:rPr>
                <w:sz w:val="22"/>
              </w:rPr>
              <w:t xml:space="preserve"> </w:t>
            </w:r>
          </w:p>
          <w:p w:rsidR="007F65DB" w:rsidRPr="007F65DB" w:rsidRDefault="007F65DB" w:rsidP="007F65DB">
            <w:pPr>
              <w:pStyle w:val="TableRowCentered"/>
              <w:jc w:val="left"/>
              <w:cnfStyle w:val="000000000000" w:firstRow="0" w:lastRow="0" w:firstColumn="0" w:lastColumn="0" w:oddVBand="0" w:evenVBand="0" w:oddHBand="0" w:evenHBand="0" w:firstRowFirstColumn="0" w:firstRowLastColumn="0" w:lastRowFirstColumn="0" w:lastRowLastColumn="0"/>
              <w:rPr>
                <w:b/>
                <w:color w:val="FF0000"/>
                <w:sz w:val="22"/>
                <w:u w:val="single"/>
              </w:rPr>
            </w:pPr>
          </w:p>
        </w:tc>
        <w:tc>
          <w:tcPr>
            <w:tcW w:w="1451" w:type="dxa"/>
          </w:tcPr>
          <w:p w:rsidR="00E66558" w:rsidRDefault="00930D4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1</w:t>
            </w:r>
          </w:p>
        </w:tc>
      </w:tr>
      <w:tr w:rsidR="00E66558" w:rsidTr="00712100">
        <w:tc>
          <w:tcPr>
            <w:cnfStyle w:val="001000000000" w:firstRow="0" w:lastRow="0" w:firstColumn="1" w:lastColumn="0" w:oddVBand="0" w:evenVBand="0" w:oddHBand="0" w:evenHBand="0" w:firstRowFirstColumn="0" w:firstRowLastColumn="0" w:lastRowFirstColumn="0" w:lastRowLastColumn="0"/>
            <w:tcW w:w="2264" w:type="dxa"/>
          </w:tcPr>
          <w:p w:rsidR="00E66558" w:rsidRDefault="00930D4B">
            <w:pPr>
              <w:pStyle w:val="TableRow"/>
              <w:rPr>
                <w:i/>
                <w:sz w:val="22"/>
              </w:rPr>
            </w:pPr>
            <w:r>
              <w:rPr>
                <w:sz w:val="22"/>
                <w:szCs w:val="22"/>
              </w:rPr>
              <w:t xml:space="preserve">Speech and Language Therapist </w:t>
            </w:r>
            <w:r w:rsidRPr="00AC7723">
              <w:rPr>
                <w:sz w:val="22"/>
                <w:szCs w:val="22"/>
              </w:rPr>
              <w:t>led</w:t>
            </w:r>
            <w:r>
              <w:rPr>
                <w:sz w:val="22"/>
                <w:szCs w:val="22"/>
              </w:rPr>
              <w:t xml:space="preserve"> </w:t>
            </w:r>
            <w:r w:rsidRPr="00AC7723">
              <w:rPr>
                <w:sz w:val="22"/>
                <w:szCs w:val="22"/>
              </w:rPr>
              <w:t>1:1</w:t>
            </w:r>
          </w:p>
        </w:tc>
        <w:tc>
          <w:tcPr>
            <w:tcW w:w="6352" w:type="dxa"/>
          </w:tcPr>
          <w:p w:rsidR="00D911DB" w:rsidRDefault="00D911DB" w:rsidP="00D911DB">
            <w:pPr>
              <w:pStyle w:val="TableRowCentered"/>
              <w:jc w:val="left"/>
              <w:cnfStyle w:val="000000000000" w:firstRow="0" w:lastRow="0" w:firstColumn="0" w:lastColumn="0" w:oddVBand="0" w:evenVBand="0" w:oddHBand="0" w:evenHBand="0" w:firstRowFirstColumn="0" w:firstRowLastColumn="0" w:lastRowFirstColumn="0" w:lastRowLastColumn="0"/>
              <w:rPr>
                <w:rFonts w:cs="Arial"/>
                <w:color w:val="auto"/>
                <w:sz w:val="22"/>
                <w:szCs w:val="30"/>
                <w:shd w:val="clear" w:color="auto" w:fill="FAFAFA"/>
              </w:rPr>
            </w:pPr>
            <w:r>
              <w:rPr>
                <w:sz w:val="22"/>
                <w:szCs w:val="22"/>
              </w:rPr>
              <w:t xml:space="preserve">EEF - </w:t>
            </w:r>
            <w:r w:rsidRPr="00D911DB">
              <w:rPr>
                <w:rFonts w:cs="Arial"/>
                <w:color w:val="auto"/>
                <w:sz w:val="22"/>
                <w:szCs w:val="30"/>
                <w:shd w:val="clear" w:color="auto" w:fill="FAFAFA"/>
              </w:rPr>
              <w:t>On average, oral language approaches have a high impact on pupil outcomes of 6 months’ additional progress.</w:t>
            </w:r>
          </w:p>
          <w:p w:rsidR="00DB24EF" w:rsidRDefault="00E3217C" w:rsidP="00DB24EF">
            <w:pPr>
              <w:pStyle w:val="TableRowCentered"/>
              <w:jc w:val="left"/>
              <w:cnfStyle w:val="000000000000" w:firstRow="0" w:lastRow="0" w:firstColumn="0" w:lastColumn="0" w:oddVBand="0" w:evenVBand="0" w:oddHBand="0" w:evenHBand="0" w:firstRowFirstColumn="0" w:firstRowLastColumn="0" w:lastRowFirstColumn="0" w:lastRowLastColumn="0"/>
              <w:rPr>
                <w:rStyle w:val="Hyperlink"/>
                <w:sz w:val="22"/>
              </w:rPr>
            </w:pPr>
            <w:hyperlink r:id="rId16" w:history="1">
              <w:r w:rsidR="001A56F8">
                <w:rPr>
                  <w:rStyle w:val="Hyperlink"/>
                  <w:sz w:val="22"/>
                </w:rPr>
                <w:t>EEF [Oral Language Interventions]</w:t>
              </w:r>
            </w:hyperlink>
          </w:p>
          <w:p w:rsidR="00DB24EF" w:rsidRPr="00DB24EF" w:rsidRDefault="00DB24EF" w:rsidP="00DB24EF">
            <w:pPr>
              <w:pStyle w:val="TableRowCentered"/>
              <w:jc w:val="left"/>
              <w:cnfStyle w:val="000000000000" w:firstRow="0" w:lastRow="0" w:firstColumn="0" w:lastColumn="0" w:oddVBand="0" w:evenVBand="0" w:oddHBand="0" w:evenHBand="0" w:firstRowFirstColumn="0" w:firstRowLastColumn="0" w:lastRowFirstColumn="0" w:lastRowLastColumn="0"/>
              <w:rPr>
                <w:b/>
                <w:color w:val="0000FF"/>
                <w:sz w:val="22"/>
                <w:u w:val="single"/>
              </w:rPr>
            </w:pPr>
          </w:p>
        </w:tc>
        <w:tc>
          <w:tcPr>
            <w:tcW w:w="1451" w:type="dxa"/>
          </w:tcPr>
          <w:p w:rsidR="00E66558" w:rsidRDefault="00930D4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1</w:t>
            </w:r>
          </w:p>
        </w:tc>
      </w:tr>
      <w:tr w:rsidR="00930D4B" w:rsidTr="00712100">
        <w:tc>
          <w:tcPr>
            <w:cnfStyle w:val="001000000000" w:firstRow="0" w:lastRow="0" w:firstColumn="1" w:lastColumn="0" w:oddVBand="0" w:evenVBand="0" w:oddHBand="0" w:evenHBand="0" w:firstRowFirstColumn="0" w:firstRowLastColumn="0" w:lastRowFirstColumn="0" w:lastRowLastColumn="0"/>
            <w:tcW w:w="2264" w:type="dxa"/>
          </w:tcPr>
          <w:p w:rsidR="00930D4B" w:rsidRDefault="00930D4B" w:rsidP="00930D4B">
            <w:pPr>
              <w:spacing w:after="0" w:line="240" w:lineRule="auto"/>
              <w:rPr>
                <w:sz w:val="22"/>
                <w:szCs w:val="22"/>
              </w:rPr>
            </w:pPr>
            <w:r w:rsidRPr="008E34B8">
              <w:rPr>
                <w:sz w:val="22"/>
                <w:szCs w:val="22"/>
              </w:rPr>
              <w:t>Basic Skills Intervention</w:t>
            </w:r>
            <w:r>
              <w:rPr>
                <w:sz w:val="22"/>
                <w:szCs w:val="22"/>
              </w:rPr>
              <w:t>s English  (TA Led</w:t>
            </w:r>
            <w:r w:rsidRPr="008E34B8">
              <w:rPr>
                <w:sz w:val="22"/>
                <w:szCs w:val="22"/>
              </w:rPr>
              <w:t>)</w:t>
            </w:r>
          </w:p>
          <w:p w:rsidR="00930D4B" w:rsidRDefault="00930D4B" w:rsidP="00930D4B">
            <w:pPr>
              <w:spacing w:after="0" w:line="240" w:lineRule="auto"/>
              <w:rPr>
                <w:sz w:val="22"/>
                <w:szCs w:val="22"/>
              </w:rPr>
            </w:pPr>
            <w:r>
              <w:rPr>
                <w:sz w:val="22"/>
                <w:szCs w:val="22"/>
              </w:rPr>
              <w:t>Fresh Start</w:t>
            </w:r>
          </w:p>
          <w:p w:rsidR="00930D4B" w:rsidRDefault="00930D4B" w:rsidP="00930D4B">
            <w:pPr>
              <w:spacing w:after="0" w:line="240" w:lineRule="auto"/>
              <w:rPr>
                <w:sz w:val="22"/>
                <w:szCs w:val="22"/>
              </w:rPr>
            </w:pPr>
            <w:r>
              <w:rPr>
                <w:sz w:val="22"/>
                <w:szCs w:val="22"/>
              </w:rPr>
              <w:t>Guided reading</w:t>
            </w:r>
          </w:p>
          <w:p w:rsidR="00930D4B" w:rsidRPr="00930D4B" w:rsidRDefault="00930D4B" w:rsidP="00930D4B">
            <w:pPr>
              <w:spacing w:after="0" w:line="240" w:lineRule="auto"/>
            </w:pPr>
            <w:r>
              <w:rPr>
                <w:sz w:val="22"/>
                <w:szCs w:val="22"/>
              </w:rPr>
              <w:t>Phonics</w:t>
            </w:r>
          </w:p>
        </w:tc>
        <w:tc>
          <w:tcPr>
            <w:tcW w:w="6352" w:type="dxa"/>
          </w:tcPr>
          <w:p w:rsidR="008C14F4" w:rsidRDefault="008C14F4" w:rsidP="008C14F4">
            <w:pPr>
              <w:pStyle w:val="TableRowCentered"/>
              <w:ind w:left="0"/>
              <w:jc w:val="left"/>
              <w:cnfStyle w:val="000000000000" w:firstRow="0" w:lastRow="0" w:firstColumn="0" w:lastColumn="0" w:oddVBand="0" w:evenVBand="0" w:oddHBand="0" w:evenHBand="0" w:firstRowFirstColumn="0" w:firstRowLastColumn="0" w:lastRowFirstColumn="0" w:lastRowLastColumn="0"/>
              <w:rPr>
                <w:rFonts w:cs="Arial"/>
                <w:color w:val="auto"/>
                <w:sz w:val="22"/>
                <w:szCs w:val="30"/>
                <w:shd w:val="clear" w:color="auto" w:fill="FAFAFA"/>
              </w:rPr>
            </w:pPr>
            <w:r>
              <w:rPr>
                <w:sz w:val="22"/>
                <w:szCs w:val="22"/>
              </w:rPr>
              <w:t xml:space="preserve">EEF - </w:t>
            </w:r>
            <w:r w:rsidR="009A3C16" w:rsidRPr="009A3C16">
              <w:rPr>
                <w:rFonts w:cs="Arial"/>
                <w:color w:val="auto"/>
                <w:sz w:val="22"/>
                <w:szCs w:val="22"/>
                <w:shd w:val="clear" w:color="auto" w:fill="FAFAFA"/>
              </w:rPr>
              <w:t>Teaching assistants can provide a large positive impact on learner outcomes</w:t>
            </w:r>
            <w:r w:rsidR="009A3C16">
              <w:rPr>
                <w:rFonts w:cs="Arial"/>
                <w:color w:val="auto"/>
                <w:sz w:val="22"/>
                <w:szCs w:val="22"/>
                <w:shd w:val="clear" w:color="auto" w:fill="FAFAFA"/>
              </w:rPr>
              <w:t xml:space="preserve">. </w:t>
            </w:r>
            <w:r w:rsidR="009A3C16" w:rsidRPr="009A3C16">
              <w:rPr>
                <w:rFonts w:cs="Arial"/>
                <w:color w:val="auto"/>
                <w:sz w:val="22"/>
                <w:szCs w:val="30"/>
                <w:shd w:val="clear" w:color="auto" w:fill="FAFAFA"/>
              </w:rPr>
              <w:t>Targeted deployment, where teaching assistants are trained to deliver an intervention to small groups or individuals has a higher impact</w:t>
            </w:r>
            <w:r w:rsidR="009A3C16">
              <w:rPr>
                <w:rFonts w:cs="Arial"/>
                <w:color w:val="auto"/>
                <w:sz w:val="22"/>
                <w:szCs w:val="30"/>
                <w:shd w:val="clear" w:color="auto" w:fill="FAFAFA"/>
              </w:rPr>
              <w:t>.</w:t>
            </w:r>
            <w:r w:rsidR="009A3C16">
              <w:t xml:space="preserve"> </w:t>
            </w:r>
            <w:hyperlink r:id="rId17" w:history="1">
              <w:r w:rsidR="009A3C16">
                <w:rPr>
                  <w:rStyle w:val="Hyperlink"/>
                  <w:rFonts w:cs="Arial"/>
                  <w:sz w:val="22"/>
                  <w:szCs w:val="30"/>
                  <w:shd w:val="clear" w:color="auto" w:fill="FAFAFA"/>
                </w:rPr>
                <w:t>EEF [Teaching Assistant Interventions]</w:t>
              </w:r>
            </w:hyperlink>
            <w:r w:rsidR="009A3C16">
              <w:rPr>
                <w:rFonts w:cs="Arial"/>
                <w:color w:val="auto"/>
                <w:sz w:val="22"/>
                <w:szCs w:val="30"/>
                <w:shd w:val="clear" w:color="auto" w:fill="FAFAFA"/>
              </w:rPr>
              <w:t xml:space="preserve"> </w:t>
            </w:r>
          </w:p>
          <w:p w:rsidR="0038399F" w:rsidRPr="007F65DB" w:rsidRDefault="0038399F" w:rsidP="008C14F4">
            <w:pPr>
              <w:pStyle w:val="TableRowCentered"/>
              <w:ind w:left="0"/>
              <w:jc w:val="left"/>
              <w:cnfStyle w:val="000000000000" w:firstRow="0" w:lastRow="0" w:firstColumn="0" w:lastColumn="0" w:oddVBand="0" w:evenVBand="0" w:oddHBand="0" w:evenHBand="0" w:firstRowFirstColumn="0" w:firstRowLastColumn="0" w:lastRowFirstColumn="0" w:lastRowLastColumn="0"/>
              <w:rPr>
                <w:b/>
                <w:sz w:val="22"/>
                <w:szCs w:val="22"/>
                <w:u w:val="single"/>
              </w:rPr>
            </w:pPr>
          </w:p>
        </w:tc>
        <w:tc>
          <w:tcPr>
            <w:tcW w:w="1451" w:type="dxa"/>
          </w:tcPr>
          <w:p w:rsidR="00930D4B" w:rsidRDefault="00930D4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2, 3</w:t>
            </w:r>
          </w:p>
        </w:tc>
      </w:tr>
      <w:tr w:rsidR="00930D4B" w:rsidTr="00712100">
        <w:tc>
          <w:tcPr>
            <w:cnfStyle w:val="001000000000" w:firstRow="0" w:lastRow="0" w:firstColumn="1" w:lastColumn="0" w:oddVBand="0" w:evenVBand="0" w:oddHBand="0" w:evenHBand="0" w:firstRowFirstColumn="0" w:firstRowLastColumn="0" w:lastRowFirstColumn="0" w:lastRowLastColumn="0"/>
            <w:tcW w:w="2264" w:type="dxa"/>
          </w:tcPr>
          <w:p w:rsidR="00930D4B" w:rsidRDefault="00930D4B">
            <w:pPr>
              <w:pStyle w:val="TableRow"/>
              <w:rPr>
                <w:sz w:val="22"/>
                <w:szCs w:val="22"/>
              </w:rPr>
            </w:pPr>
            <w:r w:rsidRPr="008E34B8">
              <w:rPr>
                <w:sz w:val="22"/>
                <w:szCs w:val="22"/>
              </w:rPr>
              <w:t>Basic Skills Intervention</w:t>
            </w:r>
            <w:r>
              <w:rPr>
                <w:sz w:val="22"/>
                <w:szCs w:val="22"/>
              </w:rPr>
              <w:t>s</w:t>
            </w:r>
            <w:r w:rsidRPr="008E34B8">
              <w:rPr>
                <w:sz w:val="22"/>
                <w:szCs w:val="22"/>
              </w:rPr>
              <w:t xml:space="preserve"> Maths</w:t>
            </w:r>
            <w:r>
              <w:rPr>
                <w:sz w:val="22"/>
                <w:szCs w:val="22"/>
              </w:rPr>
              <w:t xml:space="preserve"> (</w:t>
            </w:r>
            <w:r w:rsidR="001A56F8">
              <w:rPr>
                <w:sz w:val="22"/>
                <w:szCs w:val="22"/>
              </w:rPr>
              <w:t>Teacher/</w:t>
            </w:r>
            <w:r>
              <w:rPr>
                <w:sz w:val="22"/>
                <w:szCs w:val="22"/>
              </w:rPr>
              <w:t>TA Led</w:t>
            </w:r>
            <w:r w:rsidRPr="008E34B8">
              <w:rPr>
                <w:sz w:val="22"/>
                <w:szCs w:val="22"/>
              </w:rPr>
              <w:t>)</w:t>
            </w:r>
          </w:p>
        </w:tc>
        <w:tc>
          <w:tcPr>
            <w:tcW w:w="6352" w:type="dxa"/>
          </w:tcPr>
          <w:p w:rsidR="00930D4B" w:rsidRDefault="009A3C16" w:rsidP="008C14F4">
            <w:pPr>
              <w:pStyle w:val="TableRowCentered"/>
              <w:jc w:val="left"/>
              <w:cnfStyle w:val="000000000000" w:firstRow="0" w:lastRow="0" w:firstColumn="0" w:lastColumn="0" w:oddVBand="0" w:evenVBand="0" w:oddHBand="0" w:evenHBand="0" w:firstRowFirstColumn="0" w:firstRowLastColumn="0" w:lastRowFirstColumn="0" w:lastRowLastColumn="0"/>
              <w:rPr>
                <w:rStyle w:val="Hyperlink"/>
                <w:rFonts w:cs="Arial"/>
                <w:sz w:val="22"/>
                <w:szCs w:val="30"/>
                <w:shd w:val="clear" w:color="auto" w:fill="FAFAFA"/>
              </w:rPr>
            </w:pPr>
            <w:r>
              <w:rPr>
                <w:sz w:val="22"/>
                <w:szCs w:val="22"/>
              </w:rPr>
              <w:t xml:space="preserve">EEF - </w:t>
            </w:r>
            <w:r w:rsidRPr="009A3C16">
              <w:rPr>
                <w:rFonts w:cs="Arial"/>
                <w:color w:val="auto"/>
                <w:sz w:val="22"/>
                <w:szCs w:val="22"/>
                <w:shd w:val="clear" w:color="auto" w:fill="FAFAFA"/>
              </w:rPr>
              <w:t>Teaching assistants can provide a large positive impact on learner outcomes</w:t>
            </w:r>
            <w:r>
              <w:rPr>
                <w:rFonts w:cs="Arial"/>
                <w:color w:val="auto"/>
                <w:sz w:val="22"/>
                <w:szCs w:val="22"/>
                <w:shd w:val="clear" w:color="auto" w:fill="FAFAFA"/>
              </w:rPr>
              <w:t xml:space="preserve">. </w:t>
            </w:r>
            <w:r w:rsidRPr="009A3C16">
              <w:rPr>
                <w:rFonts w:cs="Arial"/>
                <w:color w:val="auto"/>
                <w:sz w:val="22"/>
                <w:szCs w:val="30"/>
                <w:shd w:val="clear" w:color="auto" w:fill="FAFAFA"/>
              </w:rPr>
              <w:t>Targeted deployment, where teaching assistants are trained to deliver an intervention to small groups or individuals has a higher impact</w:t>
            </w:r>
            <w:r>
              <w:rPr>
                <w:rFonts w:cs="Arial"/>
                <w:color w:val="auto"/>
                <w:sz w:val="22"/>
                <w:szCs w:val="30"/>
                <w:shd w:val="clear" w:color="auto" w:fill="FAFAFA"/>
              </w:rPr>
              <w:t>.</w:t>
            </w:r>
            <w:r>
              <w:t xml:space="preserve"> </w:t>
            </w:r>
            <w:hyperlink r:id="rId18" w:history="1">
              <w:r>
                <w:rPr>
                  <w:rStyle w:val="Hyperlink"/>
                  <w:rFonts w:cs="Arial"/>
                  <w:sz w:val="22"/>
                  <w:szCs w:val="30"/>
                  <w:shd w:val="clear" w:color="auto" w:fill="FAFAFA"/>
                </w:rPr>
                <w:t>EEF [Teaching Assistant Interventions]</w:t>
              </w:r>
            </w:hyperlink>
          </w:p>
          <w:p w:rsidR="0038399F" w:rsidRPr="007F65DB" w:rsidRDefault="0038399F" w:rsidP="00711705">
            <w:pPr>
              <w:pStyle w:val="TableRowCentered"/>
              <w:ind w:left="0"/>
              <w:jc w:val="left"/>
              <w:cnfStyle w:val="000000000000" w:firstRow="0" w:lastRow="0" w:firstColumn="0" w:lastColumn="0" w:oddVBand="0" w:evenVBand="0" w:oddHBand="0" w:evenHBand="0" w:firstRowFirstColumn="0" w:firstRowLastColumn="0" w:lastRowFirstColumn="0" w:lastRowLastColumn="0"/>
              <w:rPr>
                <w:b/>
                <w:sz w:val="22"/>
                <w:szCs w:val="22"/>
                <w:u w:val="single"/>
              </w:rPr>
            </w:pPr>
          </w:p>
        </w:tc>
        <w:tc>
          <w:tcPr>
            <w:tcW w:w="1451" w:type="dxa"/>
          </w:tcPr>
          <w:p w:rsidR="00930D4B" w:rsidRDefault="00930D4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4</w:t>
            </w:r>
          </w:p>
        </w:tc>
      </w:tr>
      <w:tr w:rsidR="00930D4B" w:rsidTr="00712100">
        <w:tc>
          <w:tcPr>
            <w:cnfStyle w:val="001000000000" w:firstRow="0" w:lastRow="0" w:firstColumn="1" w:lastColumn="0" w:oddVBand="0" w:evenVBand="0" w:oddHBand="0" w:evenHBand="0" w:firstRowFirstColumn="0" w:firstRowLastColumn="0" w:lastRowFirstColumn="0" w:lastRowLastColumn="0"/>
            <w:tcW w:w="2264" w:type="dxa"/>
          </w:tcPr>
          <w:p w:rsidR="00930D4B" w:rsidRDefault="00C558EB">
            <w:pPr>
              <w:pStyle w:val="TableRow"/>
              <w:rPr>
                <w:sz w:val="22"/>
                <w:szCs w:val="22"/>
              </w:rPr>
            </w:pPr>
            <w:r>
              <w:rPr>
                <w:sz w:val="22"/>
                <w:szCs w:val="22"/>
              </w:rPr>
              <w:t>Increase parental engagement in supporting learning at home (specifically reading)</w:t>
            </w:r>
          </w:p>
        </w:tc>
        <w:tc>
          <w:tcPr>
            <w:tcW w:w="6352" w:type="dxa"/>
          </w:tcPr>
          <w:p w:rsidR="00930D4B" w:rsidRDefault="00C558EB">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EEF - </w:t>
            </w:r>
            <w:r w:rsidRPr="00C558EB">
              <w:rPr>
                <w:sz w:val="22"/>
                <w:szCs w:val="22"/>
              </w:rPr>
              <w:t>The average impact of the Parental engagement approaches is about an additional four months’ progress over the course of a year. There are also higher impacts for pupils with low prior attainment.</w:t>
            </w:r>
            <w:r>
              <w:rPr>
                <w:sz w:val="22"/>
                <w:szCs w:val="22"/>
              </w:rPr>
              <w:t xml:space="preserve"> </w:t>
            </w:r>
            <w:r w:rsidRPr="00C558EB">
              <w:rPr>
                <w:sz w:val="22"/>
                <w:szCs w:val="22"/>
              </w:rPr>
              <w:t>Parental engagement strategies are typically more effective with parents of very young children. </w:t>
            </w:r>
          </w:p>
          <w:p w:rsidR="00C558EB" w:rsidRDefault="00E3217C">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hyperlink r:id="rId19" w:history="1">
              <w:r w:rsidR="00C558EB" w:rsidRPr="00C558EB">
                <w:rPr>
                  <w:rStyle w:val="Hyperlink"/>
                  <w:sz w:val="22"/>
                  <w:szCs w:val="22"/>
                </w:rPr>
                <w:t>EEF (Parental engagement)</w:t>
              </w:r>
            </w:hyperlink>
          </w:p>
          <w:p w:rsidR="0038399F" w:rsidRDefault="0038399F">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p>
          <w:p w:rsidR="0038399F" w:rsidRPr="007F65DB" w:rsidRDefault="0038399F">
            <w:pPr>
              <w:pStyle w:val="TableRowCentered"/>
              <w:jc w:val="left"/>
              <w:cnfStyle w:val="000000000000" w:firstRow="0" w:lastRow="0" w:firstColumn="0" w:lastColumn="0" w:oddVBand="0" w:evenVBand="0" w:oddHBand="0" w:evenHBand="0" w:firstRowFirstColumn="0" w:firstRowLastColumn="0" w:lastRowFirstColumn="0" w:lastRowLastColumn="0"/>
              <w:rPr>
                <w:b/>
                <w:sz w:val="22"/>
                <w:szCs w:val="22"/>
                <w:u w:val="single"/>
              </w:rPr>
            </w:pPr>
          </w:p>
        </w:tc>
        <w:tc>
          <w:tcPr>
            <w:tcW w:w="1451" w:type="dxa"/>
          </w:tcPr>
          <w:p w:rsidR="00930D4B" w:rsidRDefault="00C558E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8</w:t>
            </w:r>
          </w:p>
        </w:tc>
      </w:tr>
      <w:tr w:rsidR="00930D4B" w:rsidTr="00712100">
        <w:tc>
          <w:tcPr>
            <w:cnfStyle w:val="001000000000" w:firstRow="0" w:lastRow="0" w:firstColumn="1" w:lastColumn="0" w:oddVBand="0" w:evenVBand="0" w:oddHBand="0" w:evenHBand="0" w:firstRowFirstColumn="0" w:firstRowLastColumn="0" w:lastRowFirstColumn="0" w:lastRowLastColumn="0"/>
            <w:tcW w:w="2264" w:type="dxa"/>
          </w:tcPr>
          <w:p w:rsidR="00930D4B" w:rsidRDefault="00C558EB">
            <w:pPr>
              <w:pStyle w:val="TableRow"/>
              <w:rPr>
                <w:sz w:val="22"/>
                <w:szCs w:val="22"/>
              </w:rPr>
            </w:pPr>
            <w:r>
              <w:rPr>
                <w:sz w:val="22"/>
                <w:szCs w:val="22"/>
              </w:rPr>
              <w:t xml:space="preserve">Small group tuition for identified Year </w:t>
            </w:r>
            <w:r w:rsidR="00CB6D19">
              <w:rPr>
                <w:sz w:val="22"/>
                <w:szCs w:val="22"/>
              </w:rPr>
              <w:t xml:space="preserve">1-4 </w:t>
            </w:r>
            <w:r>
              <w:rPr>
                <w:sz w:val="22"/>
                <w:szCs w:val="22"/>
              </w:rPr>
              <w:t xml:space="preserve">pupils </w:t>
            </w:r>
            <w:r w:rsidR="00CB6D19">
              <w:rPr>
                <w:sz w:val="22"/>
                <w:szCs w:val="22"/>
              </w:rPr>
              <w:t>for reading and identified Y5/6 pupils for maths</w:t>
            </w:r>
          </w:p>
        </w:tc>
        <w:tc>
          <w:tcPr>
            <w:tcW w:w="6352" w:type="dxa"/>
          </w:tcPr>
          <w:p w:rsidR="00C558EB" w:rsidRPr="00C558EB" w:rsidRDefault="00C558EB" w:rsidP="00C558EB">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EEF -</w:t>
            </w:r>
            <w:r w:rsidRPr="00C558EB">
              <w:rPr>
                <w:sz w:val="22"/>
                <w:szCs w:val="22"/>
              </w:rPr>
              <w:t>The average impact of the small group tuition is four additional months’ progress, on average, over the course of a year. Evidence shows that small group tuition is effective and, as a rule of thumb, the smaller the group the better. </w:t>
            </w:r>
          </w:p>
          <w:p w:rsidR="00930D4B" w:rsidRDefault="00E3217C">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hyperlink r:id="rId20" w:history="1">
              <w:r w:rsidR="00C558EB" w:rsidRPr="00C558EB">
                <w:rPr>
                  <w:rStyle w:val="Hyperlink"/>
                  <w:sz w:val="22"/>
                  <w:szCs w:val="22"/>
                </w:rPr>
                <w:t>EEF (Small group tuition)</w:t>
              </w:r>
            </w:hyperlink>
          </w:p>
          <w:p w:rsidR="0038399F" w:rsidRDefault="0038399F">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p>
          <w:p w:rsidR="0038399F" w:rsidRPr="007F65DB" w:rsidRDefault="0038399F" w:rsidP="007F65DB">
            <w:pPr>
              <w:pStyle w:val="TableRowCentered"/>
              <w:ind w:left="0"/>
              <w:jc w:val="left"/>
              <w:cnfStyle w:val="000000000000" w:firstRow="0" w:lastRow="0" w:firstColumn="0" w:lastColumn="0" w:oddVBand="0" w:evenVBand="0" w:oddHBand="0" w:evenHBand="0" w:firstRowFirstColumn="0" w:firstRowLastColumn="0" w:lastRowFirstColumn="0" w:lastRowLastColumn="0"/>
              <w:rPr>
                <w:b/>
                <w:sz w:val="22"/>
                <w:szCs w:val="22"/>
                <w:u w:val="single"/>
              </w:rPr>
            </w:pPr>
          </w:p>
        </w:tc>
        <w:tc>
          <w:tcPr>
            <w:tcW w:w="1451" w:type="dxa"/>
          </w:tcPr>
          <w:p w:rsidR="00930D4B" w:rsidRDefault="00653874" w:rsidP="00653874">
            <w:pPr>
              <w:pStyle w:val="TableRowCentered"/>
              <w:ind w:left="0"/>
              <w:jc w:val="left"/>
              <w:cnfStyle w:val="000000000000" w:firstRow="0" w:lastRow="0" w:firstColumn="0" w:lastColumn="0" w:oddVBand="0" w:evenVBand="0" w:oddHBand="0" w:evenHBand="0" w:firstRowFirstColumn="0" w:firstRowLastColumn="0" w:lastRowFirstColumn="0" w:lastRowLastColumn="0"/>
              <w:rPr>
                <w:sz w:val="22"/>
              </w:rPr>
            </w:pPr>
            <w:r>
              <w:rPr>
                <w:sz w:val="22"/>
              </w:rPr>
              <w:t>1,2,3,4</w:t>
            </w:r>
          </w:p>
        </w:tc>
      </w:tr>
    </w:tbl>
    <w:p w:rsidR="00653874" w:rsidRDefault="00653874">
      <w:pPr>
        <w:rPr>
          <w:b/>
          <w:color w:val="FF0000"/>
          <w:sz w:val="28"/>
          <w:szCs w:val="28"/>
        </w:rPr>
      </w:pPr>
    </w:p>
    <w:p w:rsidR="00E66558" w:rsidRPr="001D59F4" w:rsidRDefault="009D71E8">
      <w:pPr>
        <w:rPr>
          <w:b/>
          <w:color w:val="FF0000"/>
          <w:sz w:val="28"/>
          <w:szCs w:val="28"/>
        </w:rPr>
      </w:pPr>
      <w:r w:rsidRPr="001D59F4">
        <w:rPr>
          <w:b/>
          <w:color w:val="FF0000"/>
          <w:sz w:val="28"/>
          <w:szCs w:val="28"/>
        </w:rPr>
        <w:t>Wider strategies (for example, related to attendance, behaviour, wellbeing)</w:t>
      </w:r>
    </w:p>
    <w:p w:rsidR="00E66558" w:rsidRDefault="009D71E8">
      <w:pPr>
        <w:spacing w:before="240" w:after="120"/>
      </w:pPr>
      <w:r>
        <w:t xml:space="preserve">Budgeted cost: £ </w:t>
      </w:r>
      <w:r w:rsidR="00C7783E" w:rsidRPr="00C7783E">
        <w:t>61,000</w:t>
      </w:r>
    </w:p>
    <w:tbl>
      <w:tblPr>
        <w:tblStyle w:val="GridTable1Light"/>
        <w:tblW w:w="5380" w:type="pct"/>
        <w:tblInd w:w="-289" w:type="dxa"/>
        <w:tblLook w:val="04A0" w:firstRow="1" w:lastRow="0" w:firstColumn="1" w:lastColumn="0" w:noHBand="0" w:noVBand="1"/>
      </w:tblPr>
      <w:tblGrid>
        <w:gridCol w:w="2694"/>
        <w:gridCol w:w="6062"/>
        <w:gridCol w:w="1451"/>
      </w:tblGrid>
      <w:tr w:rsidR="00E66558" w:rsidTr="00712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E66558" w:rsidRDefault="009D71E8">
            <w:pPr>
              <w:pStyle w:val="TableHeader"/>
              <w:jc w:val="left"/>
            </w:pPr>
            <w:r>
              <w:t>Activity</w:t>
            </w:r>
          </w:p>
        </w:tc>
        <w:tc>
          <w:tcPr>
            <w:tcW w:w="6062"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Evidence that supports this approach</w:t>
            </w:r>
          </w:p>
        </w:tc>
        <w:tc>
          <w:tcPr>
            <w:tcW w:w="1451" w:type="dxa"/>
          </w:tcPr>
          <w:p w:rsidR="00E66558" w:rsidRDefault="009D71E8">
            <w:pPr>
              <w:pStyle w:val="TableHeader"/>
              <w:jc w:val="left"/>
              <w:cnfStyle w:val="100000000000" w:firstRow="1" w:lastRow="0" w:firstColumn="0" w:lastColumn="0" w:oddVBand="0" w:evenVBand="0" w:oddHBand="0" w:evenHBand="0" w:firstRowFirstColumn="0" w:firstRowLastColumn="0" w:lastRowFirstColumn="0" w:lastRowLastColumn="0"/>
            </w:pPr>
            <w:r>
              <w:t>Challenge number(s) addressed</w:t>
            </w:r>
          </w:p>
        </w:tc>
      </w:tr>
      <w:tr w:rsidR="00E66558" w:rsidTr="00712100">
        <w:trPr>
          <w:trHeight w:val="1398"/>
        </w:trPr>
        <w:tc>
          <w:tcPr>
            <w:cnfStyle w:val="001000000000" w:firstRow="0" w:lastRow="0" w:firstColumn="1" w:lastColumn="0" w:oddVBand="0" w:evenVBand="0" w:oddHBand="0" w:evenHBand="0" w:firstRowFirstColumn="0" w:firstRowLastColumn="0" w:lastRowFirstColumn="0" w:lastRowLastColumn="0"/>
            <w:tcW w:w="2694" w:type="dxa"/>
          </w:tcPr>
          <w:p w:rsidR="00E66558" w:rsidRPr="00D643EB" w:rsidRDefault="00D643EB" w:rsidP="00D643EB">
            <w:pPr>
              <w:pStyle w:val="TableRow"/>
              <w:spacing w:after="120"/>
              <w:ind w:left="29"/>
              <w:rPr>
                <w:iCs/>
                <w:color w:val="auto"/>
                <w:sz w:val="22"/>
                <w:szCs w:val="22"/>
                <w:lang w:val="en-US"/>
              </w:rPr>
            </w:pPr>
            <w:r w:rsidRPr="00D643EB">
              <w:rPr>
                <w:iCs/>
                <w:color w:val="auto"/>
                <w:sz w:val="22"/>
                <w:szCs w:val="22"/>
                <w:lang w:val="en-US"/>
              </w:rPr>
              <w:t xml:space="preserve">Embedding principles of good practice set out in the DfE’s </w:t>
            </w:r>
            <w:hyperlink r:id="rId21" w:history="1">
              <w:r w:rsidRPr="00D643EB">
                <w:rPr>
                  <w:rStyle w:val="Hyperlink"/>
                  <w:iCs/>
                  <w:color w:val="0070C0"/>
                  <w:sz w:val="22"/>
                  <w:szCs w:val="22"/>
                  <w:lang w:val="en-US"/>
                </w:rPr>
                <w:t>Improving School Attendance</w:t>
              </w:r>
            </w:hyperlink>
            <w:r w:rsidRPr="00D643EB">
              <w:rPr>
                <w:iCs/>
                <w:color w:val="0070C0"/>
                <w:sz w:val="22"/>
                <w:szCs w:val="22"/>
                <w:lang w:val="en-US"/>
              </w:rPr>
              <w:t xml:space="preserve"> </w:t>
            </w:r>
            <w:r w:rsidRPr="00D643EB">
              <w:rPr>
                <w:iCs/>
                <w:color w:val="auto"/>
                <w:sz w:val="22"/>
                <w:szCs w:val="22"/>
                <w:lang w:val="en-US"/>
              </w:rPr>
              <w:t>advice.</w:t>
            </w:r>
          </w:p>
        </w:tc>
        <w:tc>
          <w:tcPr>
            <w:tcW w:w="6062" w:type="dxa"/>
          </w:tcPr>
          <w:p w:rsidR="00E66558" w:rsidRDefault="00D643EB">
            <w:pPr>
              <w:pStyle w:val="TableRowCentered"/>
              <w:jc w:val="left"/>
              <w:cnfStyle w:val="000000000000" w:firstRow="0" w:lastRow="0" w:firstColumn="0" w:lastColumn="0" w:oddVBand="0" w:evenVBand="0" w:oddHBand="0" w:evenHBand="0" w:firstRowFirstColumn="0" w:firstRowLastColumn="0" w:lastRowFirstColumn="0" w:lastRowLastColumn="0"/>
              <w:rPr>
                <w:color w:val="auto"/>
                <w:sz w:val="22"/>
                <w:szCs w:val="22"/>
              </w:rPr>
            </w:pPr>
            <w:r w:rsidRPr="00D643EB">
              <w:rPr>
                <w:color w:val="auto"/>
                <w:sz w:val="22"/>
                <w:szCs w:val="22"/>
              </w:rPr>
              <w:t>The DfE guidance has been informed by engagement with schools that have significantly reduced levels of absence and persistent absence.</w:t>
            </w:r>
          </w:p>
          <w:p w:rsidR="007F65DB" w:rsidRDefault="007F65DB">
            <w:pPr>
              <w:pStyle w:val="TableRowCentered"/>
              <w:jc w:val="left"/>
              <w:cnfStyle w:val="000000000000" w:firstRow="0" w:lastRow="0" w:firstColumn="0" w:lastColumn="0" w:oddVBand="0" w:evenVBand="0" w:oddHBand="0" w:evenHBand="0" w:firstRowFirstColumn="0" w:firstRowLastColumn="0" w:lastRowFirstColumn="0" w:lastRowLastColumn="0"/>
              <w:rPr>
                <w:color w:val="auto"/>
                <w:sz w:val="22"/>
                <w:szCs w:val="22"/>
              </w:rPr>
            </w:pPr>
          </w:p>
          <w:p w:rsidR="007F65DB" w:rsidRPr="007F65DB" w:rsidRDefault="007F65DB" w:rsidP="007F65DB">
            <w:pPr>
              <w:pStyle w:val="TableRowCentered"/>
              <w:ind w:left="0"/>
              <w:jc w:val="left"/>
              <w:cnfStyle w:val="000000000000" w:firstRow="0" w:lastRow="0" w:firstColumn="0" w:lastColumn="0" w:oddVBand="0" w:evenVBand="0" w:oddHBand="0" w:evenHBand="0" w:firstRowFirstColumn="0" w:firstRowLastColumn="0" w:lastRowFirstColumn="0" w:lastRowLastColumn="0"/>
              <w:rPr>
                <w:b/>
                <w:sz w:val="22"/>
                <w:szCs w:val="22"/>
                <w:u w:val="single"/>
              </w:rPr>
            </w:pPr>
          </w:p>
        </w:tc>
        <w:tc>
          <w:tcPr>
            <w:tcW w:w="1451" w:type="dxa"/>
          </w:tcPr>
          <w:p w:rsidR="00E66558" w:rsidRPr="00D643EB" w:rsidRDefault="00D643EB">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sidRPr="00D643EB">
              <w:rPr>
                <w:sz w:val="22"/>
                <w:szCs w:val="22"/>
              </w:rPr>
              <w:t>5</w:t>
            </w:r>
          </w:p>
        </w:tc>
      </w:tr>
      <w:tr w:rsidR="00E66558" w:rsidTr="00712100">
        <w:tc>
          <w:tcPr>
            <w:cnfStyle w:val="001000000000" w:firstRow="0" w:lastRow="0" w:firstColumn="1" w:lastColumn="0" w:oddVBand="0" w:evenVBand="0" w:oddHBand="0" w:evenHBand="0" w:firstRowFirstColumn="0" w:firstRowLastColumn="0" w:lastRowFirstColumn="0" w:lastRowLastColumn="0"/>
            <w:tcW w:w="2694" w:type="dxa"/>
          </w:tcPr>
          <w:p w:rsidR="00E66558" w:rsidRDefault="00D643EB">
            <w:pPr>
              <w:pStyle w:val="TableRow"/>
              <w:rPr>
                <w:i/>
                <w:sz w:val="22"/>
              </w:rPr>
            </w:pPr>
            <w:r w:rsidRPr="009D6968">
              <w:rPr>
                <w:rFonts w:cs="Calibri"/>
                <w:sz w:val="22"/>
                <w:szCs w:val="22"/>
              </w:rPr>
              <w:t>Family support workers</w:t>
            </w:r>
          </w:p>
        </w:tc>
        <w:tc>
          <w:tcPr>
            <w:tcW w:w="6062" w:type="dxa"/>
          </w:tcPr>
          <w:p w:rsidR="00D643EB" w:rsidRDefault="00D643EB" w:rsidP="00D643EB">
            <w:pPr>
              <w:spacing w:after="0" w:line="240" w:lineRule="auto"/>
              <w:cnfStyle w:val="000000000000" w:firstRow="0" w:lastRow="0" w:firstColumn="0" w:lastColumn="0" w:oddVBand="0" w:evenVBand="0" w:oddHBand="0" w:evenHBand="0" w:firstRowFirstColumn="0" w:firstRowLastColumn="0" w:lastRowFirstColumn="0" w:lastRowLastColumn="0"/>
            </w:pPr>
            <w:r w:rsidRPr="009D6968">
              <w:rPr>
                <w:sz w:val="22"/>
                <w:szCs w:val="22"/>
              </w:rPr>
              <w:t>Needs driven – identified barrier.</w:t>
            </w:r>
          </w:p>
          <w:p w:rsidR="00E66558" w:rsidRDefault="00D643EB" w:rsidP="00712100">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BA3883">
              <w:rPr>
                <w:sz w:val="22"/>
                <w:szCs w:val="22"/>
              </w:rPr>
              <w:t>TAF/</w:t>
            </w:r>
            <w:proofErr w:type="spellStart"/>
            <w:r w:rsidRPr="00BA3883">
              <w:rPr>
                <w:sz w:val="22"/>
                <w:szCs w:val="22"/>
              </w:rPr>
              <w:t>iART</w:t>
            </w:r>
            <w:proofErr w:type="spellEnd"/>
            <w:r w:rsidRPr="00BA3883">
              <w:rPr>
                <w:sz w:val="22"/>
                <w:szCs w:val="22"/>
              </w:rPr>
              <w:t>/MARFs/</w:t>
            </w:r>
            <w:proofErr w:type="spellStart"/>
            <w:r w:rsidRPr="00BA3883">
              <w:rPr>
                <w:sz w:val="22"/>
                <w:szCs w:val="22"/>
              </w:rPr>
              <w:t>CiN</w:t>
            </w:r>
            <w:proofErr w:type="spellEnd"/>
            <w:r w:rsidRPr="00BA3883">
              <w:rPr>
                <w:sz w:val="22"/>
                <w:szCs w:val="22"/>
              </w:rPr>
              <w:t>/CP plans</w:t>
            </w:r>
            <w:r>
              <w:rPr>
                <w:sz w:val="22"/>
                <w:szCs w:val="22"/>
              </w:rPr>
              <w:t>.</w:t>
            </w:r>
          </w:p>
          <w:p w:rsidR="007F65DB" w:rsidRDefault="007F65DB" w:rsidP="00712100">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p w:rsidR="007F65DB" w:rsidRPr="007F65DB" w:rsidRDefault="007F65DB" w:rsidP="00712100">
            <w:pPr>
              <w:spacing w:after="0" w:line="240" w:lineRule="auto"/>
              <w:cnfStyle w:val="000000000000" w:firstRow="0" w:lastRow="0" w:firstColumn="0" w:lastColumn="0" w:oddVBand="0" w:evenVBand="0" w:oddHBand="0" w:evenHBand="0" w:firstRowFirstColumn="0" w:firstRowLastColumn="0" w:lastRowFirstColumn="0" w:lastRowLastColumn="0"/>
              <w:rPr>
                <w:b/>
                <w:u w:val="single"/>
              </w:rPr>
            </w:pPr>
          </w:p>
        </w:tc>
        <w:tc>
          <w:tcPr>
            <w:tcW w:w="1451" w:type="dxa"/>
          </w:tcPr>
          <w:p w:rsidR="00E66558" w:rsidRDefault="00D643E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6</w:t>
            </w:r>
          </w:p>
        </w:tc>
      </w:tr>
      <w:tr w:rsidR="00D643EB" w:rsidTr="00712100">
        <w:tc>
          <w:tcPr>
            <w:cnfStyle w:val="001000000000" w:firstRow="0" w:lastRow="0" w:firstColumn="1" w:lastColumn="0" w:oddVBand="0" w:evenVBand="0" w:oddHBand="0" w:evenHBand="0" w:firstRowFirstColumn="0" w:firstRowLastColumn="0" w:lastRowFirstColumn="0" w:lastRowLastColumn="0"/>
            <w:tcW w:w="2694" w:type="dxa"/>
          </w:tcPr>
          <w:p w:rsidR="00D643EB" w:rsidRPr="009D6968" w:rsidRDefault="00D643EB">
            <w:pPr>
              <w:pStyle w:val="TableRow"/>
              <w:rPr>
                <w:rFonts w:cs="Calibri"/>
                <w:sz w:val="22"/>
                <w:szCs w:val="22"/>
              </w:rPr>
            </w:pPr>
            <w:r>
              <w:rPr>
                <w:rFonts w:cs="Calibri"/>
                <w:sz w:val="22"/>
                <w:szCs w:val="22"/>
              </w:rPr>
              <w:t>Breakfast club</w:t>
            </w:r>
          </w:p>
        </w:tc>
        <w:tc>
          <w:tcPr>
            <w:tcW w:w="6062" w:type="dxa"/>
          </w:tcPr>
          <w:p w:rsidR="00712100" w:rsidRDefault="00E00497" w:rsidP="00D643E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263238"/>
                <w:sz w:val="22"/>
                <w:szCs w:val="30"/>
                <w:shd w:val="clear" w:color="auto" w:fill="FFFFFF"/>
              </w:rPr>
            </w:pPr>
            <w:r>
              <w:rPr>
                <w:sz w:val="22"/>
                <w:szCs w:val="22"/>
              </w:rPr>
              <w:t xml:space="preserve">EEF - </w:t>
            </w:r>
            <w:r w:rsidRPr="00E00497">
              <w:rPr>
                <w:rFonts w:cs="Arial"/>
                <w:color w:val="263238"/>
                <w:sz w:val="22"/>
                <w:szCs w:val="30"/>
                <w:shd w:val="clear" w:color="auto" w:fill="FFFFFF"/>
              </w:rPr>
              <w:t>Breakfast clubs that offer pupils in primary schools a free and nutritious meal before school can boost their reading, writing and maths results by the equivalent of two months’ progress over the course of a year.</w:t>
            </w:r>
            <w:r w:rsidR="001A56F8">
              <w:rPr>
                <w:rFonts w:cs="Arial"/>
                <w:color w:val="263238"/>
                <w:sz w:val="22"/>
                <w:szCs w:val="30"/>
                <w:shd w:val="clear" w:color="auto" w:fill="FFFFFF"/>
              </w:rPr>
              <w:t xml:space="preserve"> </w:t>
            </w:r>
          </w:p>
          <w:p w:rsidR="00E00497" w:rsidRPr="001A56F8" w:rsidRDefault="00E3217C" w:rsidP="00D643E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263238"/>
                <w:sz w:val="22"/>
                <w:szCs w:val="30"/>
                <w:shd w:val="clear" w:color="auto" w:fill="FFFFFF"/>
              </w:rPr>
            </w:pPr>
            <w:hyperlink r:id="rId22" w:history="1">
              <w:r w:rsidR="00E00497">
                <w:rPr>
                  <w:rStyle w:val="Hyperlink"/>
                  <w:sz w:val="22"/>
                  <w:szCs w:val="22"/>
                </w:rPr>
                <w:t>EEF[Breakfast Clubs]</w:t>
              </w:r>
            </w:hyperlink>
            <w:r w:rsidR="00E00497">
              <w:rPr>
                <w:sz w:val="22"/>
                <w:szCs w:val="22"/>
              </w:rPr>
              <w:t xml:space="preserve"> </w:t>
            </w:r>
          </w:p>
        </w:tc>
        <w:tc>
          <w:tcPr>
            <w:tcW w:w="1451" w:type="dxa"/>
          </w:tcPr>
          <w:p w:rsidR="00D643EB" w:rsidRDefault="00D643EB">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5, 6, 8</w:t>
            </w:r>
          </w:p>
        </w:tc>
      </w:tr>
      <w:tr w:rsidR="00D643EB" w:rsidTr="00712100">
        <w:tc>
          <w:tcPr>
            <w:cnfStyle w:val="001000000000" w:firstRow="0" w:lastRow="0" w:firstColumn="1" w:lastColumn="0" w:oddVBand="0" w:evenVBand="0" w:oddHBand="0" w:evenHBand="0" w:firstRowFirstColumn="0" w:firstRowLastColumn="0" w:lastRowFirstColumn="0" w:lastRowLastColumn="0"/>
            <w:tcW w:w="2694" w:type="dxa"/>
          </w:tcPr>
          <w:p w:rsidR="00D643EB" w:rsidRPr="009D6968" w:rsidRDefault="00D643EB">
            <w:pPr>
              <w:pStyle w:val="TableRow"/>
              <w:rPr>
                <w:rFonts w:cs="Calibri"/>
                <w:sz w:val="22"/>
                <w:szCs w:val="22"/>
              </w:rPr>
            </w:pPr>
            <w:r w:rsidRPr="009D6968">
              <w:rPr>
                <w:sz w:val="22"/>
                <w:szCs w:val="22"/>
              </w:rPr>
              <w:t>ELSA</w:t>
            </w:r>
          </w:p>
        </w:tc>
        <w:tc>
          <w:tcPr>
            <w:tcW w:w="6062" w:type="dxa"/>
          </w:tcPr>
          <w:p w:rsidR="00D643EB" w:rsidRPr="00712100" w:rsidRDefault="00D643EB" w:rsidP="001A56F8">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auto"/>
                <w:sz w:val="22"/>
                <w:szCs w:val="30"/>
                <w:shd w:val="clear" w:color="auto" w:fill="FAFAFA"/>
              </w:rPr>
            </w:pPr>
            <w:r>
              <w:rPr>
                <w:sz w:val="22"/>
                <w:szCs w:val="22"/>
              </w:rPr>
              <w:t>EEF</w:t>
            </w:r>
            <w:r w:rsidR="001A56F8">
              <w:rPr>
                <w:sz w:val="22"/>
                <w:szCs w:val="22"/>
              </w:rPr>
              <w:t xml:space="preserve"> -</w:t>
            </w:r>
            <w:r w:rsidR="001A56F8">
              <w:rPr>
                <w:rFonts w:ascii="Helvetica" w:hAnsi="Helvetica" w:cs="Helvetica"/>
                <w:color w:val="FFFFFF"/>
                <w:sz w:val="30"/>
                <w:szCs w:val="30"/>
                <w:shd w:val="clear" w:color="auto" w:fill="FAFAFA"/>
              </w:rPr>
              <w:t xml:space="preserve"> </w:t>
            </w:r>
            <w:r w:rsidR="001A56F8" w:rsidRPr="001A56F8">
              <w:rPr>
                <w:rFonts w:cs="Arial"/>
                <w:color w:val="auto"/>
                <w:sz w:val="22"/>
                <w:szCs w:val="22"/>
                <w:shd w:val="clear" w:color="auto" w:fill="FAFAFA"/>
              </w:rPr>
              <w:t>Social and emotional learning approaches have a positive impact, on average, of 4 months’ additional progress in academic outcomes over the course of an academic year.</w:t>
            </w:r>
            <w:r w:rsidR="001A56F8" w:rsidRPr="001A56F8">
              <w:rPr>
                <w:color w:val="auto"/>
                <w:sz w:val="22"/>
                <w:szCs w:val="22"/>
              </w:rPr>
              <w:t xml:space="preserve"> </w:t>
            </w:r>
            <w:r w:rsidR="00712100">
              <w:rPr>
                <w:color w:val="auto"/>
                <w:sz w:val="22"/>
                <w:szCs w:val="22"/>
              </w:rPr>
              <w:t xml:space="preserve"> </w:t>
            </w:r>
            <w:hyperlink r:id="rId23" w:history="1">
              <w:r w:rsidR="001A56F8">
                <w:rPr>
                  <w:rStyle w:val="Hyperlink"/>
                  <w:rFonts w:cs="Arial"/>
                  <w:sz w:val="22"/>
                  <w:szCs w:val="30"/>
                  <w:shd w:val="clear" w:color="auto" w:fill="FAFAFA"/>
                </w:rPr>
                <w:t>EEF [Social &amp; Emotional Learning]</w:t>
              </w:r>
            </w:hyperlink>
            <w:r w:rsidR="001A56F8">
              <w:rPr>
                <w:rFonts w:cs="Arial"/>
                <w:color w:val="auto"/>
                <w:sz w:val="22"/>
                <w:szCs w:val="30"/>
                <w:shd w:val="clear" w:color="auto" w:fill="FAFAFA"/>
              </w:rPr>
              <w:t xml:space="preserve"> </w:t>
            </w:r>
          </w:p>
        </w:tc>
        <w:tc>
          <w:tcPr>
            <w:tcW w:w="1451" w:type="dxa"/>
          </w:tcPr>
          <w:p w:rsidR="00D643EB" w:rsidRDefault="00C7520E">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6</w:t>
            </w:r>
          </w:p>
        </w:tc>
      </w:tr>
      <w:tr w:rsidR="00D643EB" w:rsidTr="00712100">
        <w:tc>
          <w:tcPr>
            <w:cnfStyle w:val="001000000000" w:firstRow="0" w:lastRow="0" w:firstColumn="1" w:lastColumn="0" w:oddVBand="0" w:evenVBand="0" w:oddHBand="0" w:evenHBand="0" w:firstRowFirstColumn="0" w:firstRowLastColumn="0" w:lastRowFirstColumn="0" w:lastRowLastColumn="0"/>
            <w:tcW w:w="2694" w:type="dxa"/>
          </w:tcPr>
          <w:p w:rsidR="00D643EB" w:rsidRPr="009D6968" w:rsidRDefault="00D643EB">
            <w:pPr>
              <w:pStyle w:val="TableRow"/>
              <w:rPr>
                <w:rFonts w:cs="Calibri"/>
                <w:sz w:val="22"/>
                <w:szCs w:val="22"/>
              </w:rPr>
            </w:pPr>
            <w:r w:rsidRPr="009D6968">
              <w:rPr>
                <w:sz w:val="22"/>
                <w:szCs w:val="22"/>
              </w:rPr>
              <w:t>Wider</w:t>
            </w:r>
            <w:r w:rsidR="00653874">
              <w:rPr>
                <w:sz w:val="22"/>
                <w:szCs w:val="22"/>
              </w:rPr>
              <w:t xml:space="preserve"> opportunities (The Arts, including </w:t>
            </w:r>
            <w:r w:rsidR="00CB6D19">
              <w:rPr>
                <w:sz w:val="22"/>
                <w:szCs w:val="22"/>
              </w:rPr>
              <w:t>musical instrument lessons &amp; Arts based residentials</w:t>
            </w:r>
            <w:r w:rsidR="00653874">
              <w:rPr>
                <w:sz w:val="22"/>
                <w:szCs w:val="22"/>
              </w:rPr>
              <w:t>)</w:t>
            </w:r>
          </w:p>
        </w:tc>
        <w:tc>
          <w:tcPr>
            <w:tcW w:w="6062" w:type="dxa"/>
          </w:tcPr>
          <w:p w:rsidR="00D911DB" w:rsidRPr="00D911DB" w:rsidRDefault="00D911DB" w:rsidP="00D643EB">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D911DB">
              <w:rPr>
                <w:rFonts w:cs="Arial"/>
                <w:color w:val="auto"/>
                <w:sz w:val="22"/>
                <w:szCs w:val="22"/>
                <w:shd w:val="clear" w:color="auto" w:fill="FAFAFA"/>
              </w:rPr>
              <w:t>Arts participation approaches can have a positive impact on academic outcomes in other areas of the curriculum.</w:t>
            </w:r>
          </w:p>
          <w:p w:rsidR="00D911DB" w:rsidRDefault="00E3217C" w:rsidP="00D643EB">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hyperlink r:id="rId24" w:history="1">
              <w:r w:rsidR="001A56F8">
                <w:rPr>
                  <w:rStyle w:val="Hyperlink"/>
                  <w:sz w:val="22"/>
                  <w:szCs w:val="22"/>
                </w:rPr>
                <w:t>EEF [Arts Participation]</w:t>
              </w:r>
            </w:hyperlink>
            <w:r w:rsidR="00D911DB">
              <w:rPr>
                <w:sz w:val="22"/>
                <w:szCs w:val="22"/>
              </w:rPr>
              <w:t xml:space="preserve"> </w:t>
            </w:r>
          </w:p>
          <w:p w:rsidR="007F65DB" w:rsidRDefault="007F65DB" w:rsidP="00D643EB">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p w:rsidR="007F65DB" w:rsidRPr="007F65DB" w:rsidRDefault="007F65DB" w:rsidP="00D643EB">
            <w:pPr>
              <w:spacing w:after="0" w:line="240" w:lineRule="auto"/>
              <w:cnfStyle w:val="000000000000" w:firstRow="0" w:lastRow="0" w:firstColumn="0" w:lastColumn="0" w:oddVBand="0" w:evenVBand="0" w:oddHBand="0" w:evenHBand="0" w:firstRowFirstColumn="0" w:firstRowLastColumn="0" w:lastRowFirstColumn="0" w:lastRowLastColumn="0"/>
              <w:rPr>
                <w:b/>
                <w:sz w:val="22"/>
                <w:szCs w:val="22"/>
                <w:u w:val="single"/>
              </w:rPr>
            </w:pPr>
          </w:p>
        </w:tc>
        <w:tc>
          <w:tcPr>
            <w:tcW w:w="1451" w:type="dxa"/>
          </w:tcPr>
          <w:p w:rsidR="00D643EB" w:rsidRDefault="00C7520E">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7</w:t>
            </w:r>
          </w:p>
        </w:tc>
      </w:tr>
      <w:tr w:rsidR="00D643EB" w:rsidTr="00712100">
        <w:tc>
          <w:tcPr>
            <w:cnfStyle w:val="001000000000" w:firstRow="0" w:lastRow="0" w:firstColumn="1" w:lastColumn="0" w:oddVBand="0" w:evenVBand="0" w:oddHBand="0" w:evenHBand="0" w:firstRowFirstColumn="0" w:firstRowLastColumn="0" w:lastRowFirstColumn="0" w:lastRowLastColumn="0"/>
            <w:tcW w:w="2694" w:type="dxa"/>
          </w:tcPr>
          <w:p w:rsidR="00D643EB" w:rsidRPr="009D6968" w:rsidRDefault="00D643EB">
            <w:pPr>
              <w:pStyle w:val="TableRow"/>
              <w:rPr>
                <w:rFonts w:cs="Calibri"/>
                <w:sz w:val="22"/>
                <w:szCs w:val="22"/>
              </w:rPr>
            </w:pPr>
            <w:r w:rsidRPr="00941CB0">
              <w:rPr>
                <w:rFonts w:cs="Arial"/>
                <w:sz w:val="22"/>
                <w:szCs w:val="22"/>
              </w:rPr>
              <w:t>SMSC opport</w:t>
            </w:r>
            <w:r w:rsidR="00B15630">
              <w:rPr>
                <w:rFonts w:cs="Arial"/>
                <w:sz w:val="22"/>
                <w:szCs w:val="22"/>
              </w:rPr>
              <w:t xml:space="preserve">unities (trips/visits) </w:t>
            </w:r>
          </w:p>
        </w:tc>
        <w:tc>
          <w:tcPr>
            <w:tcW w:w="6062" w:type="dxa"/>
          </w:tcPr>
          <w:p w:rsidR="00D643EB" w:rsidRPr="00941CB0" w:rsidRDefault="00D643EB" w:rsidP="00D643EB">
            <w:pPr>
              <w:spacing w:after="0" w:line="240" w:lineRule="auto"/>
              <w:cnfStyle w:val="000000000000" w:firstRow="0" w:lastRow="0" w:firstColumn="0" w:lastColumn="0" w:oddVBand="0" w:evenVBand="0" w:oddHBand="0" w:evenHBand="0" w:firstRowFirstColumn="0" w:firstRowLastColumn="0" w:lastRowFirstColumn="0" w:lastRowLastColumn="0"/>
            </w:pPr>
            <w:r w:rsidRPr="00941CB0">
              <w:rPr>
                <w:sz w:val="22"/>
                <w:szCs w:val="22"/>
              </w:rPr>
              <w:t>Previous school level data evidences very high impact.</w:t>
            </w:r>
          </w:p>
          <w:p w:rsidR="00D643EB" w:rsidRDefault="00D643EB" w:rsidP="00D643EB">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941CB0">
              <w:rPr>
                <w:sz w:val="22"/>
                <w:szCs w:val="22"/>
              </w:rPr>
              <w:t>Previous pupil voice evidences impact.</w:t>
            </w:r>
          </w:p>
          <w:p w:rsidR="007F65DB" w:rsidRDefault="007F65DB" w:rsidP="00D643EB">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p w:rsidR="007F65DB" w:rsidRPr="007F65DB" w:rsidRDefault="007F65DB" w:rsidP="00D643EB">
            <w:pPr>
              <w:spacing w:after="0" w:line="240" w:lineRule="auto"/>
              <w:cnfStyle w:val="000000000000" w:firstRow="0" w:lastRow="0" w:firstColumn="0" w:lastColumn="0" w:oddVBand="0" w:evenVBand="0" w:oddHBand="0" w:evenHBand="0" w:firstRowFirstColumn="0" w:firstRowLastColumn="0" w:lastRowFirstColumn="0" w:lastRowLastColumn="0"/>
              <w:rPr>
                <w:b/>
                <w:sz w:val="22"/>
                <w:szCs w:val="22"/>
                <w:u w:val="single"/>
              </w:rPr>
            </w:pPr>
          </w:p>
        </w:tc>
        <w:tc>
          <w:tcPr>
            <w:tcW w:w="1451" w:type="dxa"/>
          </w:tcPr>
          <w:p w:rsidR="00D643EB" w:rsidRDefault="00C7520E">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7</w:t>
            </w:r>
          </w:p>
        </w:tc>
      </w:tr>
    </w:tbl>
    <w:p w:rsidR="00E66558" w:rsidRDefault="00E66558">
      <w:pPr>
        <w:spacing w:before="240" w:after="0"/>
        <w:rPr>
          <w:b/>
          <w:bCs/>
          <w:color w:val="104F75"/>
          <w:sz w:val="28"/>
          <w:szCs w:val="28"/>
        </w:rPr>
      </w:pPr>
    </w:p>
    <w:p w:rsidR="00E66558" w:rsidRPr="001D59F4" w:rsidRDefault="009D71E8" w:rsidP="00120AB1">
      <w:pPr>
        <w:rPr>
          <w:color w:val="auto"/>
        </w:rPr>
      </w:pPr>
      <w:r w:rsidRPr="001D59F4">
        <w:rPr>
          <w:b/>
          <w:bCs/>
          <w:color w:val="auto"/>
          <w:sz w:val="28"/>
          <w:szCs w:val="28"/>
        </w:rPr>
        <w:t xml:space="preserve">Total budgeted cost: £ </w:t>
      </w:r>
      <w:r w:rsidR="00C7783E" w:rsidRPr="00C7783E">
        <w:rPr>
          <w:b/>
          <w:bCs/>
          <w:color w:val="auto"/>
          <w:sz w:val="28"/>
          <w:szCs w:val="28"/>
        </w:rPr>
        <w:t>190,921</w:t>
      </w:r>
    </w:p>
    <w:bookmarkEnd w:id="14"/>
    <w:bookmarkEnd w:id="15"/>
    <w:bookmarkEnd w:id="16"/>
    <w:p w:rsidR="00E66558" w:rsidRDefault="00E66558">
      <w:pPr>
        <w:rPr>
          <w:i/>
          <w:iCs/>
        </w:rPr>
      </w:pPr>
    </w:p>
    <w:p w:rsidR="00AC55B0" w:rsidRDefault="00AC55B0">
      <w:pPr>
        <w:rPr>
          <w:i/>
          <w:iCs/>
        </w:rPr>
      </w:pPr>
    </w:p>
    <w:p w:rsidR="00BC26B7" w:rsidRPr="00C52C2B" w:rsidRDefault="00BC26B7">
      <w:pPr>
        <w:rPr>
          <w:i/>
          <w:iCs/>
        </w:rPr>
      </w:pPr>
    </w:p>
    <w:sectPr w:rsidR="00BC26B7" w:rsidRPr="00C52C2B">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F04" w:rsidRDefault="007C2F04">
      <w:pPr>
        <w:spacing w:after="0" w:line="240" w:lineRule="auto"/>
      </w:pPr>
      <w:r>
        <w:separator/>
      </w:r>
    </w:p>
  </w:endnote>
  <w:endnote w:type="continuationSeparator" w:id="0">
    <w:p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9D71E8">
    <w:pPr>
      <w:pStyle w:val="Footer"/>
      <w:ind w:firstLine="4513"/>
    </w:pPr>
    <w:r>
      <w:fldChar w:fldCharType="begin"/>
    </w:r>
    <w:r>
      <w:instrText xml:space="preserve"> PAGE </w:instrText>
    </w:r>
    <w:r>
      <w:fldChar w:fldCharType="separate"/>
    </w:r>
    <w:r w:rsidR="00C62D6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F04" w:rsidRDefault="007C2F04">
      <w:pPr>
        <w:spacing w:after="0" w:line="240" w:lineRule="auto"/>
      </w:pPr>
      <w:r>
        <w:separator/>
      </w:r>
    </w:p>
  </w:footnote>
  <w:footnote w:type="continuationSeparator" w:id="0">
    <w:p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89A2A03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2DC52E9"/>
    <w:multiLevelType w:val="hybridMultilevel"/>
    <w:tmpl w:val="1D20B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0"/>
  </w:num>
  <w:num w:numId="8">
    <w:abstractNumId w:val="15"/>
  </w:num>
  <w:num w:numId="9">
    <w:abstractNumId w:val="13"/>
  </w:num>
  <w:num w:numId="10">
    <w:abstractNumId w:val="11"/>
  </w:num>
  <w:num w:numId="11">
    <w:abstractNumId w:val="2"/>
  </w:num>
  <w:num w:numId="12">
    <w:abstractNumId w:val="14"/>
  </w:num>
  <w:num w:numId="13">
    <w:abstractNumId w:val="8"/>
  </w:num>
  <w:num w:numId="14">
    <w:abstractNumId w:val="6"/>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02F1"/>
    <w:rsid w:val="00066B73"/>
    <w:rsid w:val="000F3603"/>
    <w:rsid w:val="00120AB1"/>
    <w:rsid w:val="001A56F8"/>
    <w:rsid w:val="001D59F4"/>
    <w:rsid w:val="002521D9"/>
    <w:rsid w:val="002D4665"/>
    <w:rsid w:val="003144EF"/>
    <w:rsid w:val="00352D2C"/>
    <w:rsid w:val="00380A59"/>
    <w:rsid w:val="0038399F"/>
    <w:rsid w:val="003B0822"/>
    <w:rsid w:val="003B29DE"/>
    <w:rsid w:val="004044AA"/>
    <w:rsid w:val="00437149"/>
    <w:rsid w:val="0045096E"/>
    <w:rsid w:val="0053020F"/>
    <w:rsid w:val="00537ACB"/>
    <w:rsid w:val="005413CA"/>
    <w:rsid w:val="00557E24"/>
    <w:rsid w:val="00561459"/>
    <w:rsid w:val="00583160"/>
    <w:rsid w:val="005915BC"/>
    <w:rsid w:val="00653874"/>
    <w:rsid w:val="00690D53"/>
    <w:rsid w:val="006B374B"/>
    <w:rsid w:val="006D0A91"/>
    <w:rsid w:val="006E7FB1"/>
    <w:rsid w:val="007062F4"/>
    <w:rsid w:val="00711705"/>
    <w:rsid w:val="00712100"/>
    <w:rsid w:val="00741B9E"/>
    <w:rsid w:val="00765EF3"/>
    <w:rsid w:val="007C2F04"/>
    <w:rsid w:val="007E645E"/>
    <w:rsid w:val="007F65DB"/>
    <w:rsid w:val="008464DA"/>
    <w:rsid w:val="008C14F4"/>
    <w:rsid w:val="00917497"/>
    <w:rsid w:val="00930D4B"/>
    <w:rsid w:val="009A3C16"/>
    <w:rsid w:val="009B6717"/>
    <w:rsid w:val="009D71E8"/>
    <w:rsid w:val="00A26E32"/>
    <w:rsid w:val="00AA4201"/>
    <w:rsid w:val="00AC55B0"/>
    <w:rsid w:val="00AD4FA8"/>
    <w:rsid w:val="00B15630"/>
    <w:rsid w:val="00B65BA7"/>
    <w:rsid w:val="00BC0E63"/>
    <w:rsid w:val="00BC26B7"/>
    <w:rsid w:val="00BE179B"/>
    <w:rsid w:val="00C52C2B"/>
    <w:rsid w:val="00C558EB"/>
    <w:rsid w:val="00C62D6A"/>
    <w:rsid w:val="00C7520E"/>
    <w:rsid w:val="00C7783E"/>
    <w:rsid w:val="00CB6D19"/>
    <w:rsid w:val="00D332BB"/>
    <w:rsid w:val="00D33FE5"/>
    <w:rsid w:val="00D643EB"/>
    <w:rsid w:val="00D911DB"/>
    <w:rsid w:val="00DB24EF"/>
    <w:rsid w:val="00DF3434"/>
    <w:rsid w:val="00E00497"/>
    <w:rsid w:val="00E05E57"/>
    <w:rsid w:val="00E3217C"/>
    <w:rsid w:val="00E66558"/>
    <w:rsid w:val="00F1314B"/>
    <w:rsid w:val="00FE4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4AB208"/>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GridTable1Light">
    <w:name w:val="Grid Table 1 Light"/>
    <w:basedOn w:val="TableNormal"/>
    <w:uiPriority w:val="46"/>
    <w:rsid w:val="001D59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558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139910">
      <w:bodyDiv w:val="1"/>
      <w:marLeft w:val="0"/>
      <w:marRight w:val="0"/>
      <w:marTop w:val="0"/>
      <w:marBottom w:val="0"/>
      <w:divBdr>
        <w:top w:val="none" w:sz="0" w:space="0" w:color="auto"/>
        <w:left w:val="none" w:sz="0" w:space="0" w:color="auto"/>
        <w:bottom w:val="none" w:sz="0" w:space="0" w:color="auto"/>
        <w:right w:val="none" w:sz="0" w:space="0" w:color="auto"/>
      </w:divBdr>
    </w:div>
    <w:div w:id="2107000542">
      <w:bodyDiv w:val="1"/>
      <w:marLeft w:val="0"/>
      <w:marRight w:val="0"/>
      <w:marTop w:val="0"/>
      <w:marBottom w:val="0"/>
      <w:divBdr>
        <w:top w:val="none" w:sz="0" w:space="0" w:color="auto"/>
        <w:left w:val="none" w:sz="0" w:space="0" w:color="auto"/>
        <w:bottom w:val="none" w:sz="0" w:space="0" w:color="auto"/>
        <w:right w:val="none" w:sz="0" w:space="0" w:color="auto"/>
      </w:divBdr>
      <w:divsChild>
        <w:div w:id="471556423">
          <w:marLeft w:val="0"/>
          <w:marRight w:val="4497"/>
          <w:marTop w:val="0"/>
          <w:marBottom w:val="0"/>
          <w:divBdr>
            <w:top w:val="single" w:sz="2" w:space="0" w:color="auto"/>
            <w:left w:val="single" w:sz="2" w:space="0" w:color="auto"/>
            <w:bottom w:val="single" w:sz="2" w:space="0" w:color="auto"/>
            <w:right w:val="single" w:sz="2" w:space="0" w:color="auto"/>
          </w:divBdr>
          <w:divsChild>
            <w:div w:id="102304629">
              <w:marLeft w:val="0"/>
              <w:marRight w:val="0"/>
              <w:marTop w:val="0"/>
              <w:marBottom w:val="0"/>
              <w:divBdr>
                <w:top w:val="single" w:sz="2" w:space="0" w:color="auto"/>
                <w:left w:val="single" w:sz="2" w:space="0" w:color="auto"/>
                <w:bottom w:val="single" w:sz="2" w:space="0" w:color="auto"/>
                <w:right w:val="single" w:sz="2" w:space="0" w:color="auto"/>
              </w:divBdr>
            </w:div>
          </w:divsChild>
        </w:div>
        <w:div w:id="650254114">
          <w:marLeft w:val="4497"/>
          <w:marRight w:val="4497"/>
          <w:marTop w:val="0"/>
          <w:marBottom w:val="0"/>
          <w:divBdr>
            <w:top w:val="single" w:sz="2" w:space="0" w:color="auto"/>
            <w:left w:val="single" w:sz="2" w:space="0" w:color="auto"/>
            <w:bottom w:val="single" w:sz="2" w:space="0" w:color="auto"/>
            <w:right w:val="single" w:sz="2" w:space="0" w:color="auto"/>
          </w:divBdr>
          <w:divsChild>
            <w:div w:id="310135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 TargetMode="External"/><Relationship Id="rId13" Type="http://schemas.openxmlformats.org/officeDocument/2006/relationships/hyperlink" Target="https://educationinspection.blog.gov.uk/2021/04/27/history-in-outstanding-primary-schools/" TargetMode="External"/><Relationship Id="rId18" Type="http://schemas.openxmlformats.org/officeDocument/2006/relationships/hyperlink" Target="https://educationendowmentfoundation.org.uk/education-evidence/teaching-learning-toolkit/teaching-assistant-interven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image" Target="media/image1.png"/><Relationship Id="rId12" Type="http://schemas.openxmlformats.org/officeDocument/2006/relationships/hyperlink" Target="https://www.gov.uk/government/publications/research-review-series-history/research-review-series-history" TargetMode="External"/><Relationship Id="rId17" Type="http://schemas.openxmlformats.org/officeDocument/2006/relationships/hyperlink" Target="https://educationendowmentfoundation.org.uk/education-evidence/teaching-learning-toolkit/teaching-assistant-intervention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ral-language-interventions" TargetMode="External"/><Relationship Id="rId20" Type="http://schemas.openxmlformats.org/officeDocument/2006/relationships/hyperlink" Target="file:///C:\Users\sch8753817\AppData\Local\Microsoft\Windows\INetCache\Content.Outlook\TZN33VUW\The%20average%20impact%20of%20the%20small%20group%20tuition%20is%20four%20additional%20months&#8217;%20progress,%20on%20average,%20over%20the%20course%20of%20a%20ye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24" Type="http://schemas.openxmlformats.org/officeDocument/2006/relationships/hyperlink" Target="https://educationendowmentfoundation.org.uk/education-evidence/teaching-learning-toolkit/arts-participation"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amp;search_term=Emotio"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hyperlink" Target="https://educationendowmentfoundation.org.uk/education-evidence/teaching-learning-toolkit/parental-engagement"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www.gov.uk/government/news/ofsted-publishes-research-review-on-geography" TargetMode="External"/><Relationship Id="rId22" Type="http://schemas.openxmlformats.org/officeDocument/2006/relationships/hyperlink" Target="https://educationendowmentfoundation.org.uk/news/breakfast-clubs-found-to-boost-primary-pupils-reading-writing-and-maths-res?utm_source=/news/breakfast-clubs-found-to-boost-primary-pupils-reading-writing-and-maths-res&amp;utm_medium=search&amp;utm_campaign=site_search&amp;search_term=breakfa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Katie Ullein</cp:lastModifiedBy>
  <cp:revision>5</cp:revision>
  <cp:lastPrinted>2023-11-17T13:29:00Z</cp:lastPrinted>
  <dcterms:created xsi:type="dcterms:W3CDTF">2023-11-17T14:26:00Z</dcterms:created>
  <dcterms:modified xsi:type="dcterms:W3CDTF">2023-11-17T14:41:00Z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